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ind w:right="640"/>
        <w:jc w:val="center"/>
        <w:rPr>
          <w:rFonts w:ascii="Times New Roman" w:hAnsi="Times New Roman" w:eastAsia="方正小标宋简体" w:cs="Times New Roman"/>
          <w:color w:val="auto"/>
          <w:sz w:val="40"/>
          <w:szCs w:val="40"/>
        </w:rPr>
      </w:pPr>
      <w:r>
        <w:rPr>
          <w:rFonts w:ascii="Times New Roman" w:hAnsi="Times New Roman" w:eastAsia="方正小标宋简体" w:cs="Times New Roman"/>
          <w:color w:val="auto"/>
          <w:sz w:val="40"/>
          <w:szCs w:val="40"/>
        </w:rPr>
        <w:t>表1：城交口</w:t>
      </w:r>
      <w:r>
        <w:rPr>
          <w:rFonts w:hint="eastAsia" w:ascii="Times New Roman" w:hAnsi="Times New Roman" w:eastAsia="方正小标宋简体" w:cs="Times New Roman"/>
          <w:color w:val="auto"/>
          <w:sz w:val="40"/>
          <w:szCs w:val="40"/>
        </w:rPr>
        <w:t>2021年</w:t>
      </w:r>
      <w:r>
        <w:rPr>
          <w:rFonts w:ascii="Times New Roman" w:hAnsi="Times New Roman" w:eastAsia="方正小标宋简体" w:cs="Times New Roman"/>
          <w:color w:val="auto"/>
          <w:sz w:val="40"/>
          <w:szCs w:val="40"/>
        </w:rPr>
        <w:t>重点工作进展情况表</w:t>
      </w:r>
    </w:p>
    <w:tbl>
      <w:tblPr>
        <w:tblStyle w:val="9"/>
        <w:tblW w:w="22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8080"/>
        <w:gridCol w:w="9543"/>
        <w:gridCol w:w="1731"/>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blHeader/>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pacing w:val="-11"/>
                <w:sz w:val="28"/>
                <w:szCs w:val="28"/>
              </w:rPr>
            </w:pPr>
            <w:r>
              <w:rPr>
                <w:rFonts w:hint="default" w:ascii="Times New Roman" w:hAnsi="Times New Roman" w:eastAsia="仿宋_GB2312" w:cs="Times New Roman"/>
                <w:color w:val="auto"/>
                <w:spacing w:val="-11"/>
                <w:sz w:val="28"/>
                <w:szCs w:val="28"/>
              </w:rPr>
              <w:t>序号</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内容与要求</w:t>
            </w:r>
          </w:p>
        </w:tc>
        <w:tc>
          <w:tcPr>
            <w:tcW w:w="9543"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进展情况</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进展评价</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p>
        </w:tc>
        <w:tc>
          <w:tcPr>
            <w:tcW w:w="8080" w:type="dxa"/>
            <w:vAlign w:val="center"/>
          </w:tcPr>
          <w:p>
            <w:pPr>
              <w:pStyle w:val="15"/>
              <w:keepNext w:val="0"/>
              <w:keepLines w:val="0"/>
              <w:pageBreakBefore w:val="0"/>
              <w:widowControl w:val="0"/>
              <w:kinsoku/>
              <w:wordWrap/>
              <w:overflowPunct/>
              <w:topLinePunct w:val="0"/>
              <w:autoSpaceDE/>
              <w:autoSpaceDN/>
              <w:bidi w:val="0"/>
              <w:adjustRightInd/>
              <w:snapToGrid/>
              <w:spacing w:after="0" w:line="380" w:lineRule="exact"/>
              <w:ind w:left="0" w:leftChars="0"/>
              <w:textAlignment w:val="auto"/>
              <w:outlineLvl w:val="9"/>
              <w:rPr>
                <w:rFonts w:hint="default" w:ascii="Times New Roman" w:hAnsi="Times New Roman" w:eastAsia="仿宋_GB2312" w:cs="Times New Roman"/>
                <w:color w:val="auto"/>
                <w:spacing w:val="-4"/>
                <w:sz w:val="28"/>
                <w:szCs w:val="28"/>
              </w:rPr>
            </w:pPr>
            <w:r>
              <w:rPr>
                <w:rFonts w:hint="default" w:ascii="Times New Roman" w:hAnsi="Times New Roman" w:eastAsia="仿宋_GB2312" w:cs="Times New Roman"/>
                <w:color w:val="auto"/>
                <w:spacing w:val="-4"/>
                <w:sz w:val="28"/>
                <w:szCs w:val="28"/>
              </w:rPr>
              <w:t xml:space="preserve">围绕构建“336交通圈”（市域30分钟、杭甬30分钟及上海60分钟）和市区10分钟上高速、30分钟通勤圈，打好以“十五大”百亿工程为主体的综合交通大会战，全市综合交通建设完成投资326亿元，同比增长10%以上。建成杭绍台高速、杭绍台铁路、南部综合交通枢纽。续建杭绍甬高速公路、柯诸高速、杭绍台高速至杭金衢高速连接线、104国道东湖至蒿坝段、329国道上虞段、235国道诸暨段、杭州中环绍兴柯桥段等项目，开展杭州萧山机场站枢纽及连接线工程、市域铁路S2（绍兴至诸暨）、市域铁路S3（绍兴至嵊州新昌）、虞南高速、诸嵊高速等项目前期研究。 </w:t>
            </w:r>
          </w:p>
        </w:tc>
        <w:tc>
          <w:tcPr>
            <w:tcW w:w="9543" w:type="dxa"/>
            <w:vAlign w:val="center"/>
          </w:tcPr>
          <w:p>
            <w:pPr>
              <w:shd w:val="clear"/>
              <w:spacing w:line="320" w:lineRule="exact"/>
              <w:ind w:firstLine="562" w:firstLineChars="200"/>
              <w:rPr>
                <w:rFonts w:hint="eastAsia"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000000" w:themeColor="text1"/>
                <w:sz w:val="28"/>
                <w:szCs w:val="28"/>
                <w:lang w:val="en-US" w:eastAsia="zh-CN"/>
                <w14:textFill>
                  <w14:solidFill>
                    <w14:schemeClr w14:val="tx1"/>
                  </w14:solidFill>
                </w14:textFill>
              </w:rPr>
              <w:t>综合交通建设投资。</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1-8月份，全年综合交</w:t>
            </w:r>
            <w:r>
              <w:rPr>
                <w:rFonts w:hint="eastAsia" w:ascii="Times New Roman" w:hAnsi="Times New Roman" w:eastAsia="仿宋_GB2312" w:cs="Times New Roman"/>
                <w:b w:val="0"/>
                <w:bCs w:val="0"/>
                <w:color w:val="auto"/>
                <w:sz w:val="28"/>
                <w:szCs w:val="28"/>
                <w:lang w:val="en-US" w:eastAsia="zh-CN"/>
              </w:rPr>
              <w:t>通建设完成投资236.9亿元，完成年度计划的72.7%，同比增长5.1%。</w:t>
            </w:r>
          </w:p>
          <w:p>
            <w:pPr>
              <w:keepNext w:val="0"/>
              <w:keepLines w:val="0"/>
              <w:pageBreakBefore w:val="0"/>
              <w:widowControl w:val="0"/>
              <w:shd w:val="clear"/>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color w:val="auto"/>
                <w:sz w:val="28"/>
                <w:szCs w:val="28"/>
              </w:rPr>
              <w:t>柯诸高速</w:t>
            </w:r>
            <w:r>
              <w:rPr>
                <w:rFonts w:hint="default" w:ascii="Times New Roman" w:hAnsi="Times New Roman" w:eastAsia="仿宋_GB2312" w:cs="Times New Roman"/>
                <w:bCs/>
                <w:color w:val="auto"/>
                <w:kern w:val="0"/>
                <w:sz w:val="28"/>
                <w:szCs w:val="28"/>
              </w:rPr>
              <w:t>完成项目经营性调整审批，取得项目补正告知书批复。同步开展项目施工图设计及专题报批工作，已基本完成施工图外业详勘工作，完成规划选址与用地预审论证报告</w:t>
            </w:r>
            <w:r>
              <w:rPr>
                <w:rFonts w:hint="default" w:ascii="Times New Roman" w:hAnsi="Times New Roman" w:eastAsia="仿宋_GB2312" w:cs="Times New Roman"/>
                <w:bCs/>
                <w:color w:val="auto"/>
                <w:kern w:val="0"/>
                <w:sz w:val="28"/>
                <w:szCs w:val="28"/>
                <w:lang w:eastAsia="zh-CN"/>
              </w:rPr>
              <w:t>修改</w:t>
            </w:r>
            <w:r>
              <w:rPr>
                <w:rFonts w:hint="default" w:ascii="Times New Roman" w:hAnsi="Times New Roman" w:eastAsia="仿宋_GB2312" w:cs="Times New Roman"/>
                <w:bCs/>
                <w:color w:val="auto"/>
                <w:kern w:val="0"/>
                <w:sz w:val="28"/>
                <w:szCs w:val="28"/>
              </w:rPr>
              <w:t>，</w:t>
            </w:r>
            <w:r>
              <w:rPr>
                <w:rFonts w:hint="default" w:ascii="Times New Roman" w:hAnsi="Times New Roman" w:eastAsia="仿宋_GB2312" w:cs="Times New Roman"/>
                <w:color w:val="auto"/>
                <w:sz w:val="28"/>
                <w:szCs w:val="28"/>
                <w:lang w:eastAsia="zh-CN"/>
              </w:rPr>
              <w:t>已逐级报至省自然资源部门</w:t>
            </w:r>
            <w:r>
              <w:rPr>
                <w:rFonts w:hint="default" w:ascii="Times New Roman" w:hAnsi="Times New Roman" w:eastAsia="仿宋_GB2312" w:cs="Times New Roman"/>
                <w:bCs/>
                <w:color w:val="auto"/>
                <w:kern w:val="0"/>
                <w:sz w:val="28"/>
                <w:szCs w:val="28"/>
              </w:rPr>
              <w:t>。</w:t>
            </w:r>
            <w:r>
              <w:rPr>
                <w:rFonts w:hint="default" w:ascii="Times New Roman" w:hAnsi="Times New Roman" w:eastAsia="仿宋_GB2312" w:cs="Times New Roman"/>
                <w:b/>
                <w:color w:val="auto"/>
                <w:sz w:val="28"/>
                <w:szCs w:val="28"/>
              </w:rPr>
              <w:t>104国道东湖至蒿坝段</w:t>
            </w:r>
            <w:r>
              <w:rPr>
                <w:rFonts w:hint="default" w:ascii="Times New Roman" w:hAnsi="Times New Roman" w:eastAsia="仿宋_GB2312" w:cs="Times New Roman"/>
                <w:color w:val="auto"/>
                <w:sz w:val="28"/>
                <w:szCs w:val="28"/>
              </w:rPr>
              <w:t>规划选址和用地预审通过省自然资源厅专家组补充评审，取得专家组意见，报批组件已</w:t>
            </w:r>
            <w:r>
              <w:rPr>
                <w:rFonts w:hint="default" w:ascii="Times New Roman" w:hAnsi="Times New Roman" w:eastAsia="仿宋_GB2312" w:cs="Times New Roman"/>
                <w:color w:val="auto"/>
                <w:sz w:val="28"/>
                <w:szCs w:val="28"/>
                <w:lang w:eastAsia="zh-CN"/>
              </w:rPr>
              <w:t>逐级</w:t>
            </w:r>
            <w:r>
              <w:rPr>
                <w:rFonts w:hint="default" w:ascii="Times New Roman" w:hAnsi="Times New Roman" w:eastAsia="仿宋_GB2312" w:cs="Times New Roman"/>
                <w:color w:val="auto"/>
                <w:sz w:val="28"/>
                <w:szCs w:val="28"/>
              </w:rPr>
              <w:t>报至</w:t>
            </w:r>
            <w:r>
              <w:rPr>
                <w:rFonts w:hint="default" w:ascii="Times New Roman" w:hAnsi="Times New Roman" w:eastAsia="仿宋_GB2312" w:cs="Times New Roman"/>
                <w:color w:val="auto"/>
                <w:sz w:val="28"/>
                <w:szCs w:val="28"/>
                <w:lang w:eastAsia="zh-CN"/>
              </w:rPr>
              <w:t>省</w:t>
            </w:r>
            <w:r>
              <w:rPr>
                <w:rFonts w:hint="default" w:ascii="Times New Roman" w:hAnsi="Times New Roman" w:eastAsia="仿宋_GB2312" w:cs="Times New Roman"/>
                <w:color w:val="auto"/>
                <w:sz w:val="28"/>
                <w:szCs w:val="28"/>
              </w:rPr>
              <w:t>自然资源部门；涉及大运河文物影响报告已上报至</w:t>
            </w:r>
            <w:r>
              <w:rPr>
                <w:rFonts w:hint="default" w:ascii="Times New Roman" w:hAnsi="Times New Roman" w:eastAsia="仿宋_GB2312" w:cs="Times New Roman"/>
                <w:color w:val="auto"/>
                <w:sz w:val="28"/>
                <w:szCs w:val="28"/>
                <w:lang w:eastAsia="zh-CN"/>
              </w:rPr>
              <w:t>国家</w:t>
            </w:r>
            <w:r>
              <w:rPr>
                <w:rFonts w:hint="default" w:ascii="Times New Roman" w:hAnsi="Times New Roman" w:eastAsia="仿宋_GB2312" w:cs="Times New Roman"/>
                <w:color w:val="auto"/>
                <w:sz w:val="28"/>
                <w:szCs w:val="28"/>
              </w:rPr>
              <w:t>文物局。</w:t>
            </w:r>
            <w:r>
              <w:rPr>
                <w:rFonts w:hint="default" w:ascii="Times New Roman" w:hAnsi="Times New Roman" w:eastAsia="仿宋_GB2312" w:cs="Times New Roman"/>
                <w:b/>
                <w:bCs/>
                <w:color w:val="auto"/>
                <w:sz w:val="28"/>
                <w:szCs w:val="28"/>
              </w:rPr>
              <w:t>杭州中环绍兴柯桥段地面道路</w:t>
            </w:r>
            <w:r>
              <w:rPr>
                <w:rFonts w:hint="default" w:ascii="Times New Roman" w:hAnsi="Times New Roman" w:eastAsia="仿宋_GB2312" w:cs="Times New Roman"/>
                <w:color w:val="auto"/>
                <w:sz w:val="28"/>
                <w:szCs w:val="28"/>
              </w:rPr>
              <w:t>编制地面道路施工招标文件，同时与省发改委对接地面道路与配套工程一并招标事宜；</w:t>
            </w:r>
            <w:r>
              <w:rPr>
                <w:rFonts w:hint="default" w:ascii="Times New Roman" w:hAnsi="Times New Roman" w:eastAsia="仿宋_GB2312" w:cs="Times New Roman"/>
                <w:b/>
                <w:bCs/>
                <w:color w:val="auto"/>
                <w:kern w:val="0"/>
                <w:sz w:val="28"/>
                <w:szCs w:val="28"/>
              </w:rPr>
              <w:t>杭州中环柯桥段高架桥改建工程</w:t>
            </w:r>
            <w:r>
              <w:rPr>
                <w:rFonts w:hint="default" w:ascii="Times New Roman" w:hAnsi="Times New Roman" w:eastAsia="仿宋_GB2312" w:cs="Times New Roman"/>
                <w:color w:val="000000"/>
                <w:kern w:val="0"/>
                <w:sz w:val="28"/>
                <w:szCs w:val="28"/>
                <w:lang w:val="en-US" w:eastAsia="zh-CN"/>
              </w:rPr>
              <w:t>总体形象进度40.2%。</w:t>
            </w:r>
            <w:r>
              <w:rPr>
                <w:rFonts w:hint="default" w:ascii="Times New Roman" w:hAnsi="Times New Roman" w:eastAsia="仿宋_GB2312" w:cs="Times New Roman"/>
                <w:b/>
                <w:bCs/>
                <w:color w:val="auto"/>
                <w:sz w:val="28"/>
                <w:szCs w:val="28"/>
              </w:rPr>
              <w:t>杭绍甬高速绍兴段</w:t>
            </w:r>
            <w:r>
              <w:rPr>
                <w:rFonts w:hint="default" w:ascii="Times New Roman" w:hAnsi="Times New Roman" w:eastAsia="仿宋_GB2312" w:cs="Times New Roman"/>
                <w:color w:val="auto"/>
                <w:sz w:val="28"/>
                <w:szCs w:val="28"/>
              </w:rPr>
              <w:t>桥梁形象进度20.1%；</w:t>
            </w:r>
            <w:r>
              <w:rPr>
                <w:rFonts w:hint="default" w:ascii="Times New Roman" w:hAnsi="Times New Roman" w:eastAsia="仿宋_GB2312" w:cs="Times New Roman"/>
                <w:b/>
                <w:bCs/>
                <w:color w:val="auto"/>
                <w:kern w:val="0"/>
                <w:sz w:val="28"/>
                <w:szCs w:val="28"/>
              </w:rPr>
              <w:t>杭绍台高速至杭金衢高速联络线</w:t>
            </w:r>
            <w:r>
              <w:rPr>
                <w:rFonts w:hint="default" w:ascii="Times New Roman" w:hAnsi="Times New Roman" w:eastAsia="仿宋_GB2312" w:cs="Times New Roman"/>
                <w:color w:val="auto"/>
                <w:sz w:val="28"/>
                <w:szCs w:val="28"/>
              </w:rPr>
              <w:t>目前正在开展桥梁桩基和隧道施工，总体形象进度3.7%；</w:t>
            </w:r>
            <w:r>
              <w:rPr>
                <w:rFonts w:hint="default" w:ascii="Times New Roman" w:hAnsi="Times New Roman" w:eastAsia="仿宋_GB2312" w:cs="Times New Roman"/>
                <w:b/>
                <w:bCs/>
                <w:color w:val="auto"/>
                <w:sz w:val="28"/>
                <w:szCs w:val="28"/>
              </w:rPr>
              <w:t>杭绍台高速城区段事故调查工作</w:t>
            </w:r>
            <w:r>
              <w:rPr>
                <w:rFonts w:hint="default" w:ascii="Times New Roman" w:hAnsi="Times New Roman" w:eastAsia="仿宋_GB2312" w:cs="Times New Roman"/>
                <w:color w:val="000000" w:themeColor="text1"/>
                <w:sz w:val="28"/>
                <w:szCs w:val="28"/>
                <w14:textFill>
                  <w14:solidFill>
                    <w14:schemeClr w14:val="tx1"/>
                  </w14:solidFill>
                </w14:textFill>
              </w:rPr>
              <w:t>事故调查工作基本完成，西侧桥吊杆更换工作已完成，东侧桥复建</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工作正在开展</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b w:val="0"/>
                <w:bCs w:val="0"/>
                <w:color w:val="auto"/>
                <w:sz w:val="28"/>
                <w:szCs w:val="28"/>
                <w:lang w:val="en-US" w:eastAsia="zh-CN"/>
              </w:rPr>
              <w:t>工程总体形象进度97%；</w:t>
            </w:r>
            <w:r>
              <w:rPr>
                <w:rFonts w:hint="default" w:ascii="Times New Roman" w:hAnsi="Times New Roman" w:eastAsia="仿宋_GB2312" w:cs="Times New Roman"/>
                <w:b/>
                <w:color w:val="auto"/>
                <w:sz w:val="28"/>
                <w:szCs w:val="28"/>
              </w:rPr>
              <w:t>杭甬高速公路南复线（虞南高速）</w:t>
            </w:r>
            <w:r>
              <w:rPr>
                <w:rFonts w:hint="default" w:ascii="Times New Roman" w:hAnsi="Times New Roman" w:eastAsia="仿宋_GB2312" w:cs="Times New Roman"/>
                <w:color w:val="auto"/>
                <w:sz w:val="28"/>
                <w:szCs w:val="28"/>
              </w:rPr>
              <w:t>已完成线位报告。</w:t>
            </w:r>
            <w:r>
              <w:rPr>
                <w:rFonts w:hint="default" w:ascii="Times New Roman" w:hAnsi="Times New Roman" w:eastAsia="仿宋_GB2312" w:cs="Times New Roman"/>
                <w:b/>
                <w:bCs/>
                <w:color w:val="auto"/>
                <w:sz w:val="28"/>
                <w:szCs w:val="28"/>
              </w:rPr>
              <w:t>诸嵊高速</w:t>
            </w:r>
            <w:r>
              <w:rPr>
                <w:rFonts w:hint="default" w:ascii="Times New Roman" w:hAnsi="Times New Roman" w:eastAsia="仿宋_GB2312" w:cs="Times New Roman"/>
                <w:color w:val="auto"/>
                <w:sz w:val="28"/>
                <w:szCs w:val="28"/>
              </w:rPr>
              <w:t>已完成线位研究方案初稿</w:t>
            </w:r>
            <w:r>
              <w:rPr>
                <w:rFonts w:hint="default" w:ascii="Times New Roman" w:hAnsi="Times New Roman" w:eastAsia="仿宋_GB2312" w:cs="Times New Roman"/>
                <w:color w:val="auto"/>
                <w:sz w:val="28"/>
                <w:szCs w:val="28"/>
                <w:lang w:eastAsia="zh-CN"/>
              </w:rPr>
              <w:t>，下一步与沿线区、县（市）</w:t>
            </w:r>
            <w:r>
              <w:rPr>
                <w:rFonts w:hint="default" w:ascii="Times New Roman" w:hAnsi="Times New Roman" w:eastAsia="仿宋_GB2312" w:cs="Times New Roman"/>
                <w:color w:val="auto"/>
                <w:sz w:val="28"/>
                <w:szCs w:val="28"/>
                <w:lang w:val="en-US" w:eastAsia="zh-CN"/>
              </w:rPr>
              <w:t>做好</w:t>
            </w:r>
            <w:r>
              <w:rPr>
                <w:rFonts w:hint="default" w:ascii="Times New Roman" w:hAnsi="Times New Roman" w:eastAsia="仿宋_GB2312" w:cs="Times New Roman"/>
                <w:color w:val="auto"/>
                <w:sz w:val="28"/>
                <w:szCs w:val="28"/>
                <w:lang w:eastAsia="zh-CN"/>
              </w:rPr>
              <w:t>对接</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b/>
                <w:color w:val="auto"/>
                <w:sz w:val="28"/>
                <w:szCs w:val="28"/>
              </w:rPr>
              <w:t>规划省道秀洲至仙居公路（滨海至富盛段）</w:t>
            </w:r>
            <w:r>
              <w:rPr>
                <w:rFonts w:hint="default" w:ascii="Times New Roman" w:hAnsi="Times New Roman" w:eastAsia="仿宋_GB2312" w:cs="Times New Roman"/>
                <w:color w:val="auto"/>
                <w:sz w:val="28"/>
                <w:szCs w:val="28"/>
              </w:rPr>
              <w:t>根据市政府专题会议意见按照1比2000地形图完成线位方案。</w:t>
            </w:r>
            <w:r>
              <w:rPr>
                <w:rFonts w:hint="default" w:ascii="Times New Roman" w:hAnsi="Times New Roman" w:eastAsia="仿宋_GB2312" w:cs="Times New Roman"/>
                <w:b/>
                <w:bCs/>
                <w:color w:val="auto"/>
                <w:sz w:val="28"/>
                <w:szCs w:val="28"/>
              </w:rPr>
              <w:t>329国道上虞盖北至道墟段改建工程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项目部驻地已建设完成，待土地批复后即可全面开工</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b/>
                <w:bCs/>
                <w:color w:val="auto"/>
                <w:sz w:val="28"/>
                <w:szCs w:val="28"/>
              </w:rPr>
              <w:t>235国道萧山河上至诸暨安华段改建工程</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先行段完成土地报批，正在进行场站、桥梁、隧道施工，完成形象进度10%。</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进展顺利</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市交通运输局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市发改委</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w w:val="90"/>
                <w:sz w:val="28"/>
                <w:szCs w:val="28"/>
              </w:rPr>
              <w:t>市轨道交通集团</w:t>
            </w:r>
            <w:r>
              <w:rPr>
                <w:rFonts w:hint="default" w:ascii="Times New Roman" w:hAnsi="Times New Roman" w:eastAsia="仿宋_GB2312" w:cs="Times New Roman"/>
                <w:color w:val="auto"/>
                <w:sz w:val="28"/>
                <w:szCs w:val="28"/>
              </w:rPr>
              <w:t>市交投集团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225"/>
              <w:jc w:val="left"/>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实施“绿色出行、品质交通”提升行动，加大公交基础设施建设、改造、提升力度，加快公交信息化建设步伐，为绿色出行提供基础支撑。</w:t>
            </w:r>
            <w:r>
              <w:rPr>
                <w:rFonts w:hint="default" w:ascii="Times New Roman" w:hAnsi="Times New Roman" w:eastAsia="仿宋_GB2312" w:cs="Times New Roman"/>
                <w:bCs/>
                <w:color w:val="auto"/>
                <w:sz w:val="28"/>
                <w:szCs w:val="28"/>
              </w:rPr>
              <w:t>探索</w:t>
            </w:r>
            <w:r>
              <w:rPr>
                <w:rFonts w:hint="default" w:ascii="Times New Roman" w:hAnsi="Times New Roman" w:eastAsia="仿宋_GB2312" w:cs="Times New Roman"/>
                <w:color w:val="auto"/>
                <w:sz w:val="28"/>
                <w:szCs w:val="28"/>
              </w:rPr>
              <w:t>试点高速公路城区段本地车辆差异化收费；建成ETC应用场景12个；新建（改建）公交首末站（停保场）5个，新建乡镇公共充电站6个，新建（改建）公交候车亭200个，新建公交电子站牌50个，新增或更新公交车500辆；实施农村公路提升改造120公里。落实开行至杭州下沙高教园区的融杭公交专线，谋划开行至杭州及萧山亚运会主场馆的定制公交线路。</w:t>
            </w:r>
          </w:p>
        </w:tc>
        <w:tc>
          <w:tcPr>
            <w:tcW w:w="954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建成ETC应用场景</w:t>
            </w:r>
            <w:r>
              <w:rPr>
                <w:rFonts w:hint="default" w:ascii="Times New Roman" w:hAnsi="Times New Roman" w:eastAsia="仿宋_GB2312" w:cs="Times New Roman"/>
                <w:b/>
                <w:bCs/>
                <w:color w:val="auto"/>
                <w:sz w:val="28"/>
                <w:szCs w:val="28"/>
                <w:lang w:val="en-US" w:eastAsia="zh-CN"/>
              </w:rPr>
              <w:t>8</w:t>
            </w:r>
            <w:r>
              <w:rPr>
                <w:rFonts w:hint="default" w:ascii="Times New Roman" w:hAnsi="Times New Roman" w:eastAsia="仿宋_GB2312" w:cs="Times New Roman"/>
                <w:b/>
                <w:bCs/>
                <w:color w:val="auto"/>
                <w:sz w:val="28"/>
                <w:szCs w:val="28"/>
              </w:rPr>
              <w:t>个</w:t>
            </w:r>
            <w:r>
              <w:rPr>
                <w:rFonts w:hint="default" w:ascii="Times New Roman" w:hAnsi="Times New Roman" w:eastAsia="仿宋_GB2312" w:cs="Times New Roman"/>
                <w:color w:val="auto"/>
                <w:sz w:val="28"/>
                <w:szCs w:val="28"/>
              </w:rPr>
              <w:t>，其中越城区、嵊州、新昌各2个，上虞、诸暨各1个。上虞、诸暨剩余各一个项目已施工完毕，待入网开通；柯桥区</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个已完成工程设计。</w:t>
            </w:r>
            <w:r>
              <w:rPr>
                <w:rFonts w:hint="default" w:ascii="Times New Roman" w:hAnsi="Times New Roman" w:eastAsia="仿宋_GB2312" w:cs="Times New Roman"/>
                <w:b/>
                <w:bCs/>
                <w:color w:val="auto"/>
                <w:sz w:val="28"/>
                <w:szCs w:val="28"/>
              </w:rPr>
              <w:t>建成公交首末站</w:t>
            </w:r>
            <w:r>
              <w:rPr>
                <w:rFonts w:hint="default" w:ascii="Times New Roman" w:hAnsi="Times New Roman" w:eastAsia="仿宋_GB2312" w:cs="Times New Roman"/>
                <w:color w:val="auto"/>
                <w:sz w:val="28"/>
                <w:szCs w:val="28"/>
              </w:rPr>
              <w:t>1个，</w:t>
            </w:r>
            <w:r>
              <w:rPr>
                <w:rFonts w:hint="default" w:ascii="Times New Roman" w:hAnsi="Times New Roman" w:eastAsia="仿宋_GB2312" w:cs="Times New Roman"/>
                <w:color w:val="auto"/>
                <w:sz w:val="28"/>
                <w:szCs w:val="28"/>
                <w:lang w:val="en-US" w:eastAsia="zh-CN"/>
              </w:rPr>
              <w:t>为嵊州市金庭公交首末站；越城公交停保场完成建设方案，排定建设工期；柯桥夏履公交站完成统征协议签订，下一步开展农户有关补偿支付后尽快完成交地；上虞松厦站完成方案编制；诸暨完成图纸审查，资规局土地划拨和财政局预算送审两项工作正同步进行。</w:t>
            </w:r>
            <w:r>
              <w:rPr>
                <w:rFonts w:hint="default" w:ascii="Times New Roman" w:hAnsi="Times New Roman" w:eastAsia="仿宋_GB2312" w:cs="Times New Roman"/>
                <w:b/>
                <w:bCs/>
                <w:color w:val="auto"/>
                <w:sz w:val="28"/>
                <w:szCs w:val="28"/>
              </w:rPr>
              <w:t>建成乡镇公共充电站2个，</w:t>
            </w:r>
            <w:r>
              <w:rPr>
                <w:rFonts w:hint="default" w:ascii="Times New Roman" w:hAnsi="Times New Roman" w:eastAsia="仿宋_GB2312" w:cs="Times New Roman"/>
                <w:b w:val="0"/>
                <w:bCs w:val="0"/>
                <w:color w:val="auto"/>
                <w:sz w:val="28"/>
                <w:szCs w:val="28"/>
              </w:rPr>
              <w:t>其中嵊州市浦口公交充电站、诸暨大唐公交充电站已建成；越城区完成孙端公交站前期勘测和初步建设方案；柯桥钱清公交充电站形象进度已经达80%（另柯桥湖光桥公交充电站已建成）；上虞松厦公交充电站完成方案编制；新昌县完成与国网公司对接，预计11月完成。</w:t>
            </w:r>
            <w:r>
              <w:rPr>
                <w:rFonts w:hint="default" w:ascii="Times New Roman" w:hAnsi="Times New Roman" w:eastAsia="仿宋_GB2312" w:cs="Times New Roman"/>
                <w:b/>
                <w:bCs/>
                <w:color w:val="auto"/>
                <w:sz w:val="28"/>
                <w:szCs w:val="28"/>
              </w:rPr>
              <w:t>建成公交候车亭</w:t>
            </w:r>
            <w:r>
              <w:rPr>
                <w:rFonts w:hint="default" w:ascii="Times New Roman" w:hAnsi="Times New Roman" w:eastAsia="仿宋_GB2312" w:cs="Times New Roman"/>
                <w:b/>
                <w:bCs/>
                <w:color w:val="auto"/>
                <w:sz w:val="28"/>
                <w:szCs w:val="28"/>
                <w:lang w:val="en-US" w:eastAsia="zh-CN"/>
              </w:rPr>
              <w:t>134</w:t>
            </w:r>
            <w:r>
              <w:rPr>
                <w:rFonts w:hint="default" w:ascii="Times New Roman" w:hAnsi="Times New Roman" w:eastAsia="仿宋_GB2312" w:cs="Times New Roman"/>
                <w:b/>
                <w:bCs/>
                <w:color w:val="auto"/>
                <w:sz w:val="28"/>
                <w:szCs w:val="28"/>
              </w:rPr>
              <w:t>个，</w:t>
            </w:r>
            <w:r>
              <w:rPr>
                <w:rFonts w:hint="default" w:ascii="Times New Roman" w:hAnsi="Times New Roman" w:eastAsia="仿宋_GB2312" w:cs="Times New Roman"/>
                <w:b w:val="0"/>
                <w:bCs w:val="0"/>
                <w:color w:val="auto"/>
                <w:sz w:val="28"/>
                <w:szCs w:val="28"/>
              </w:rPr>
              <w:t>其中越城区完成18个，柯桥区34个，诸暨10个（预计8月底完成20个），嵊州市20个，新昌县52个。上虞完成候车亭基础建设。</w:t>
            </w:r>
            <w:r>
              <w:rPr>
                <w:rFonts w:hint="default" w:ascii="Times New Roman" w:hAnsi="Times New Roman" w:eastAsia="仿宋_GB2312" w:cs="Times New Roman"/>
                <w:b/>
                <w:bCs/>
                <w:color w:val="auto"/>
                <w:sz w:val="28"/>
                <w:szCs w:val="28"/>
              </w:rPr>
              <w:t>建成电子站牌52个，</w:t>
            </w:r>
            <w:r>
              <w:rPr>
                <w:rFonts w:hint="default" w:ascii="Times New Roman" w:hAnsi="Times New Roman" w:eastAsia="仿宋_GB2312" w:cs="Times New Roman"/>
                <w:b w:val="0"/>
                <w:bCs w:val="0"/>
                <w:color w:val="auto"/>
                <w:sz w:val="28"/>
                <w:szCs w:val="28"/>
              </w:rPr>
              <w:t>其中诸暨市10个，越城区、柯桥区、上虞区各14个于6月28日通过验收；嵊州正在开展招投标相关工作；新昌县已完成招标，计划和人民路人行道“白改黑”同步实施，预计11月完成。</w:t>
            </w:r>
            <w:r>
              <w:rPr>
                <w:rFonts w:hint="default" w:ascii="Times New Roman" w:hAnsi="Times New Roman" w:eastAsia="仿宋_GB2312" w:cs="Times New Roman"/>
                <w:b/>
                <w:bCs/>
                <w:color w:val="auto"/>
                <w:sz w:val="28"/>
                <w:szCs w:val="28"/>
                <w:lang w:eastAsia="zh-CN"/>
              </w:rPr>
              <w:t>完成</w:t>
            </w:r>
            <w:r>
              <w:rPr>
                <w:rFonts w:hint="default" w:ascii="Times New Roman" w:hAnsi="Times New Roman" w:eastAsia="仿宋_GB2312" w:cs="Times New Roman"/>
                <w:b/>
                <w:bCs/>
                <w:color w:val="auto"/>
                <w:sz w:val="28"/>
                <w:szCs w:val="28"/>
              </w:rPr>
              <w:t>公交车辆更新</w:t>
            </w:r>
            <w:r>
              <w:rPr>
                <w:rFonts w:hint="default" w:ascii="Times New Roman" w:hAnsi="Times New Roman" w:eastAsia="仿宋_GB2312" w:cs="Times New Roman"/>
                <w:b/>
                <w:bCs/>
                <w:color w:val="auto"/>
                <w:sz w:val="28"/>
                <w:szCs w:val="28"/>
                <w:lang w:val="en-US" w:eastAsia="zh-CN"/>
              </w:rPr>
              <w:t>70辆</w:t>
            </w:r>
            <w:r>
              <w:rPr>
                <w:rFonts w:hint="default" w:ascii="Times New Roman" w:hAnsi="Times New Roman" w:eastAsia="仿宋_GB2312" w:cs="Times New Roman"/>
                <w:b/>
                <w:bCs/>
                <w:color w:val="auto"/>
                <w:sz w:val="28"/>
                <w:szCs w:val="28"/>
              </w:rPr>
              <w:t>：</w:t>
            </w:r>
            <w:r>
              <w:rPr>
                <w:rFonts w:hint="default" w:ascii="Times New Roman" w:hAnsi="Times New Roman" w:eastAsia="仿宋_GB2312" w:cs="Times New Roman"/>
                <w:b w:val="0"/>
                <w:bCs w:val="0"/>
                <w:color w:val="auto"/>
                <w:sz w:val="28"/>
                <w:szCs w:val="28"/>
              </w:rPr>
              <w:t>市区（三区）完成招标文件编制，相关招标报告、文件已送公共资源交易中心审核，8月5日发布采购要素公示；诸暨已完成66辆新能源公交车招投标工作，已进入汽车厂家生产阶段，预计10份到车；嵊州第一批48辆新能源公交已到位并上牌，第二批61辆已开标，第三批购置计划已经管理部门批复同意；新昌22辆公交车已到位并上牌，另有5辆2020年12月31日上牌车辆未列入当年报表。</w:t>
            </w:r>
            <w:r>
              <w:rPr>
                <w:rFonts w:hint="default" w:ascii="Times New Roman" w:hAnsi="Times New Roman" w:eastAsia="仿宋_GB2312" w:cs="Times New Roman"/>
                <w:b/>
                <w:bCs/>
                <w:color w:val="auto"/>
                <w:sz w:val="28"/>
                <w:szCs w:val="28"/>
              </w:rPr>
              <w:t>全市实施农村公路提升改造</w:t>
            </w:r>
            <w:r>
              <w:rPr>
                <w:rFonts w:hint="default" w:ascii="Times New Roman" w:hAnsi="Times New Roman" w:eastAsia="仿宋_GB2312" w:cs="Times New Roman"/>
                <w:color w:val="auto"/>
                <w:sz w:val="28"/>
                <w:szCs w:val="28"/>
              </w:rPr>
              <w:t>98.99公里，其中越城区已完成1.6公里，柯桥区已完成14公里，上虞区已完成13公里，诸暨市已完成22公里，嵊州市已完成21.39公里，新昌县已完成27公里。</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进展顺利</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市交通运输局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225"/>
              <w:jc w:val="left"/>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推进《绍兴市轨道交通管理条例》《绍兴市城市地下空间开发利用管理条例》《绍兴市建筑垃圾处置管理条例》《绍兴市养犬管理条例》立法相关工作。</w:t>
            </w:r>
          </w:p>
        </w:tc>
        <w:tc>
          <w:tcPr>
            <w:tcW w:w="954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《绍兴市城市轨道交通管理条例（草案）》已通过市政府第99次常务会议以及市八届人大常委会第三十四次会议一审，8月10-20日，配合市人大开展集中研究、修改《绍兴市城市轨道交通管理条例（草案）》。</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进展顺利</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市交通运输局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市自然资源</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和规划局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4</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建成应用绍兴市城市大脑数字交通项目，深化危货运输铁拳整治行动，深化“五路共管”治超行动，落实治超三年行动计划，推进治超省级非现场执法示范区建设。</w:t>
            </w:r>
          </w:p>
        </w:tc>
        <w:tc>
          <w:tcPr>
            <w:tcW w:w="9543"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bCs/>
                <w:color w:val="auto"/>
                <w:sz w:val="28"/>
                <w:szCs w:val="28"/>
              </w:rPr>
              <w:t>绍兴市城市大脑数字交通项目</w:t>
            </w:r>
            <w:r>
              <w:rPr>
                <w:rFonts w:hint="default" w:ascii="Times New Roman" w:hAnsi="Times New Roman" w:eastAsia="仿宋_GB2312" w:cs="Times New Roman"/>
                <w:color w:val="auto"/>
                <w:sz w:val="28"/>
                <w:szCs w:val="28"/>
              </w:rPr>
              <w:t>二期完成项目公开招标，签订合同，正式启动建设，配套组建工作专班</w:t>
            </w:r>
            <w:r>
              <w:rPr>
                <w:rFonts w:hint="default" w:ascii="Times New Roman" w:hAnsi="Times New Roman" w:eastAsia="仿宋_GB2312"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bCs/>
                <w:color w:val="auto"/>
                <w:sz w:val="28"/>
                <w:szCs w:val="28"/>
                <w:lang w:val="en-US" w:eastAsia="zh-CN"/>
              </w:rPr>
              <w:t>深化危货运输“铁拳”整治行动。</w:t>
            </w:r>
            <w:r>
              <w:rPr>
                <w:rFonts w:hint="default" w:ascii="Times New Roman" w:hAnsi="Times New Roman" w:eastAsia="仿宋_GB2312" w:cs="Times New Roman"/>
                <w:color w:val="auto"/>
                <w:sz w:val="28"/>
                <w:szCs w:val="28"/>
                <w:lang w:val="en-US" w:eastAsia="zh-CN"/>
              </w:rPr>
              <w:t>推动特别管控危化品运输企业经营许可证换发工作，做好全市34家道路危货运输企业特别管控类企业换证或者核减经营范围前期审核工作；落实动态评价分类分级管理，对越城区10家黄码企业和1家橙码企业进行约谈，责令1家橙码企业停业整改；开展8月份智控指数区县分解评价，对分段限速功能和视频接入联调推进工作缓慢的2家平台服务商进行约谈，提升我市危货智控指数短板；落实市级申诉工作，8月份安全码异常情况申诉处理率达到100%，异常线索处置率达98%；开展动态监控抽查，8月份通过省联网联控系统动态抽查车辆2735辆次，动态监控人员在岗抽查137人次；巩固挂靠清理成果，委托华越事务所对越城区17家危货企业按照“五统一”标准进行挂靠清理“回头看”；组织道路危货行业2021年度双随机检查工作及前期大排查隐患销号情况“回头看”，检查越城区危货企业9家次，发现问题隐患15个，已全部完成整改；提升从业人员专业水平，联合人社部门开展越城区危货从业人员培训，本次培训共计7个班培训总数为362人，学员到课率每班平均88%。截止24日，考试合格人数306人，合格率84.5%。待补考56人；强化应急处置能力，召集越城区消防大队、交管局袍江大队、越城区生态环境分局和越城区卫健委等部门开展越城区2021年度危货道路运输行业应急演练预案工作；继续深化危货运输行业专项整治行动，联合公安、综合行政执法、市场监管等部门重点打击无证运输和超范围经营，8月份共查获未取得许可擅自从事危险货物运输经营行为2起，处罚金额7.2万元，1至8月累计查处危货行业违法违规55起，累计处罚金额79.18万元。</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lang w:val="en-US" w:eastAsia="zh-CN"/>
              </w:rPr>
              <w:t>落实治超三年行动计划。</w:t>
            </w:r>
            <w:r>
              <w:rPr>
                <w:rFonts w:hint="default" w:ascii="Times New Roman" w:hAnsi="Times New Roman" w:eastAsia="仿宋_GB2312" w:cs="Times New Roman"/>
                <w:color w:val="auto"/>
                <w:sz w:val="28"/>
                <w:szCs w:val="28"/>
                <w:lang w:val="en-US" w:eastAsia="zh-CN"/>
              </w:rPr>
              <w:t>开展平安护航100周年专项整治治超行动，对执法区域范围内的重要路段开展重点巡查。下发8月份全市治超工作重点任务清单，印发7月份全市治超工作推进情况通报；以市道交办名义下发《关于进一步加大“百吨王”、遮挡号牌车辆打击力度的通知》、《关于进一步加强超限超载治理源头管控力度的通知》；对市级3家部门下发交办单，督促进一步加强治超源头监管力度；持续开展全市超限超载治理百日攻坚行动，共出动执法人员6700人次，查处违法超限超载车辆1180辆，卸载货物1.89万吨，收缴罚款332.17万元，对超载驾驶员扣处1677分，对112辆非法改装车辆强制恢复原状。截止8月20日，全市共查处超限超载等违法车辆11762辆，卸载货物22.3万吨，收缴罚款3531.96万元，对4570名违法超载驾驶员扣处25544分，对647辆非法改装车辆进行强制恢复原状，查处抛洒滴漏车辆791辆，查处“百吨王”车辆56辆。根据省治超办最新通报，我市普通公路超限率为0.74%，低于全省平均超限率1个百分点，居于全省前列；高速公路超限率降至0.004%，今年以来一直居于全省前列；我市治超执法案件数继续保持全省第二，其中现场执法案件数全省第一、非现执法案件数全省第二。</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进展顺利</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929"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5</w:t>
            </w:r>
          </w:p>
        </w:tc>
        <w:tc>
          <w:tcPr>
            <w:tcW w:w="8080" w:type="dxa"/>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发展水运市场，推动河海联运和内河集装箱运输发展，推广“港运+物流园区+产业园区”联运模式，落实交通强市建设任务，不断提升交通运输业发展水平。</w:t>
            </w:r>
          </w:p>
        </w:tc>
        <w:tc>
          <w:tcPr>
            <w:tcW w:w="9543" w:type="dxa"/>
            <w:vAlign w:val="center"/>
          </w:tcPr>
          <w:p>
            <w:pPr>
              <w:pStyle w:val="17"/>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1-8月港口吞吐量1410.9万吨，同比减少9.5%，集装箱吞吐量5.5万TEU，同比减少14%。</w:t>
            </w:r>
            <w:bookmarkStart w:id="0" w:name="_GoBack"/>
            <w:bookmarkEnd w:id="0"/>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进展顺利</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市交通运输局</w:t>
            </w:r>
          </w:p>
        </w:tc>
      </w:tr>
    </w:tbl>
    <w:p>
      <w:pPr>
        <w:jc w:val="both"/>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p>
    <w:p>
      <w:pPr>
        <w:jc w:val="center"/>
        <w:rPr>
          <w:rFonts w:ascii="Times New Roman" w:hAnsi="Times New Roman" w:eastAsia="方正小标宋简体" w:cs="Times New Roman"/>
          <w:color w:val="auto"/>
          <w:sz w:val="40"/>
        </w:rPr>
      </w:pPr>
      <w:r>
        <w:rPr>
          <w:rFonts w:ascii="Times New Roman" w:hAnsi="Times New Roman" w:eastAsia="方正小标宋简体" w:cs="Times New Roman"/>
          <w:color w:val="auto"/>
          <w:sz w:val="40"/>
        </w:rPr>
        <w:t>表</w:t>
      </w:r>
      <w:r>
        <w:rPr>
          <w:rFonts w:hint="eastAsia" w:ascii="Times New Roman" w:hAnsi="Times New Roman" w:eastAsia="方正小标宋简体" w:cs="Times New Roman"/>
          <w:color w:val="auto"/>
          <w:sz w:val="40"/>
        </w:rPr>
        <w:t>2</w:t>
      </w:r>
      <w:r>
        <w:rPr>
          <w:rFonts w:ascii="Times New Roman" w:hAnsi="Times New Roman" w:eastAsia="方正小标宋简体" w:cs="Times New Roman"/>
          <w:color w:val="auto"/>
          <w:sz w:val="40"/>
        </w:rPr>
        <w:t>：城交口2021年重点工作量化指标完成情况表</w:t>
      </w:r>
    </w:p>
    <w:tbl>
      <w:tblPr>
        <w:tblStyle w:val="10"/>
        <w:tblW w:w="21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977"/>
        <w:gridCol w:w="1418"/>
        <w:gridCol w:w="992"/>
        <w:gridCol w:w="850"/>
        <w:gridCol w:w="1134"/>
        <w:gridCol w:w="1418"/>
        <w:gridCol w:w="850"/>
        <w:gridCol w:w="851"/>
        <w:gridCol w:w="850"/>
        <w:gridCol w:w="851"/>
        <w:gridCol w:w="850"/>
        <w:gridCol w:w="851"/>
        <w:gridCol w:w="850"/>
        <w:gridCol w:w="851"/>
        <w:gridCol w:w="850"/>
        <w:gridCol w:w="851"/>
        <w:gridCol w:w="850"/>
        <w:gridCol w:w="882"/>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blHeader/>
          <w:jc w:val="center"/>
        </w:trPr>
        <w:tc>
          <w:tcPr>
            <w:tcW w:w="652" w:type="dxa"/>
            <w:vMerge w:val="restart"/>
            <w:tcBorders>
              <w:top w:val="single" w:color="auto" w:sz="12" w:space="0"/>
              <w:left w:val="single" w:color="auto" w:sz="12" w:space="0"/>
            </w:tcBorders>
            <w:vAlign w:val="center"/>
          </w:tcPr>
          <w:p>
            <w:pPr>
              <w:spacing w:line="320" w:lineRule="exact"/>
              <w:jc w:val="center"/>
              <w:rPr>
                <w:rFonts w:ascii="Times New Roman" w:hAnsi="Times New Roman" w:eastAsia="黑体" w:cs="Times New Roman"/>
                <w:color w:val="auto"/>
                <w:spacing w:val="-40"/>
                <w:sz w:val="28"/>
                <w:szCs w:val="28"/>
              </w:rPr>
            </w:pPr>
            <w:r>
              <w:rPr>
                <w:rFonts w:ascii="Times New Roman" w:hAnsi="Times New Roman" w:eastAsia="黑体" w:cs="Times New Roman"/>
                <w:color w:val="auto"/>
                <w:spacing w:val="-40"/>
                <w:sz w:val="28"/>
                <w:szCs w:val="28"/>
              </w:rPr>
              <w:t>序号</w:t>
            </w:r>
          </w:p>
        </w:tc>
        <w:tc>
          <w:tcPr>
            <w:tcW w:w="2977" w:type="dxa"/>
            <w:vMerge w:val="restart"/>
            <w:tcBorders>
              <w:top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工作内容</w:t>
            </w:r>
          </w:p>
        </w:tc>
        <w:tc>
          <w:tcPr>
            <w:tcW w:w="3260" w:type="dxa"/>
            <w:gridSpan w:val="3"/>
            <w:tcBorders>
              <w:top w:val="single" w:color="auto" w:sz="12" w:space="0"/>
              <w:left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全市</w:t>
            </w:r>
          </w:p>
        </w:tc>
        <w:tc>
          <w:tcPr>
            <w:tcW w:w="2552" w:type="dxa"/>
            <w:gridSpan w:val="2"/>
            <w:tcBorders>
              <w:top w:val="single" w:color="auto" w:sz="12" w:space="0"/>
              <w:left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hint="eastAsia" w:ascii="Times New Roman" w:hAnsi="Times New Roman" w:eastAsia="黑体" w:cs="Times New Roman"/>
                <w:color w:val="auto"/>
                <w:spacing w:val="-8"/>
                <w:w w:val="90"/>
                <w:sz w:val="28"/>
                <w:szCs w:val="28"/>
              </w:rPr>
              <w:t>市本级</w:t>
            </w:r>
          </w:p>
        </w:tc>
        <w:tc>
          <w:tcPr>
            <w:tcW w:w="1701" w:type="dxa"/>
            <w:gridSpan w:val="2"/>
            <w:tcBorders>
              <w:top w:val="single" w:color="auto" w:sz="12" w:space="0"/>
              <w:left w:val="single" w:color="auto" w:sz="12"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越城</w:t>
            </w:r>
            <w:r>
              <w:rPr>
                <w:rFonts w:hint="eastAsia" w:ascii="Times New Roman" w:hAnsi="Times New Roman" w:eastAsia="黑体" w:cs="Times New Roman"/>
                <w:color w:val="auto"/>
                <w:spacing w:val="-8"/>
                <w:w w:val="90"/>
                <w:sz w:val="28"/>
                <w:szCs w:val="28"/>
              </w:rPr>
              <w:t>区</w:t>
            </w:r>
          </w:p>
        </w:tc>
        <w:tc>
          <w:tcPr>
            <w:tcW w:w="1701" w:type="dxa"/>
            <w:gridSpan w:val="2"/>
            <w:tcBorders>
              <w:top w:val="single" w:color="auto" w:sz="12" w:space="0"/>
              <w:left w:val="single" w:color="auto" w:sz="4"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柯桥</w:t>
            </w:r>
            <w:r>
              <w:rPr>
                <w:rFonts w:hint="eastAsia" w:ascii="Times New Roman" w:hAnsi="Times New Roman" w:eastAsia="黑体" w:cs="Times New Roman"/>
                <w:color w:val="auto"/>
                <w:spacing w:val="-8"/>
                <w:w w:val="90"/>
                <w:sz w:val="28"/>
                <w:szCs w:val="28"/>
              </w:rPr>
              <w:t>区</w:t>
            </w:r>
          </w:p>
        </w:tc>
        <w:tc>
          <w:tcPr>
            <w:tcW w:w="1701" w:type="dxa"/>
            <w:gridSpan w:val="2"/>
            <w:tcBorders>
              <w:top w:val="single" w:color="auto" w:sz="12" w:space="0"/>
              <w:left w:val="single" w:color="auto" w:sz="4"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上虞</w:t>
            </w:r>
            <w:r>
              <w:rPr>
                <w:rFonts w:hint="eastAsia" w:ascii="Times New Roman" w:hAnsi="Times New Roman" w:eastAsia="黑体" w:cs="Times New Roman"/>
                <w:color w:val="auto"/>
                <w:spacing w:val="-8"/>
                <w:w w:val="90"/>
                <w:sz w:val="28"/>
                <w:szCs w:val="28"/>
              </w:rPr>
              <w:t>区</w:t>
            </w:r>
          </w:p>
        </w:tc>
        <w:tc>
          <w:tcPr>
            <w:tcW w:w="1701" w:type="dxa"/>
            <w:gridSpan w:val="2"/>
            <w:tcBorders>
              <w:top w:val="single" w:color="auto" w:sz="12" w:space="0"/>
              <w:left w:val="single" w:color="auto" w:sz="4"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诸暨</w:t>
            </w:r>
            <w:r>
              <w:rPr>
                <w:rFonts w:hint="eastAsia" w:ascii="Times New Roman" w:hAnsi="Times New Roman" w:eastAsia="黑体" w:cs="Times New Roman"/>
                <w:color w:val="auto"/>
                <w:spacing w:val="-8"/>
                <w:w w:val="90"/>
                <w:sz w:val="28"/>
                <w:szCs w:val="28"/>
              </w:rPr>
              <w:t>市</w:t>
            </w:r>
          </w:p>
        </w:tc>
        <w:tc>
          <w:tcPr>
            <w:tcW w:w="1701" w:type="dxa"/>
            <w:gridSpan w:val="2"/>
            <w:tcBorders>
              <w:top w:val="single" w:color="auto" w:sz="12" w:space="0"/>
              <w:left w:val="single" w:color="auto" w:sz="4"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嵊州</w:t>
            </w:r>
            <w:r>
              <w:rPr>
                <w:rFonts w:hint="eastAsia" w:ascii="Times New Roman" w:hAnsi="Times New Roman" w:eastAsia="黑体" w:cs="Times New Roman"/>
                <w:color w:val="auto"/>
                <w:spacing w:val="-8"/>
                <w:w w:val="90"/>
                <w:sz w:val="28"/>
                <w:szCs w:val="28"/>
              </w:rPr>
              <w:t>市</w:t>
            </w:r>
          </w:p>
        </w:tc>
        <w:tc>
          <w:tcPr>
            <w:tcW w:w="1732" w:type="dxa"/>
            <w:gridSpan w:val="2"/>
            <w:tcBorders>
              <w:top w:val="single" w:color="auto" w:sz="12" w:space="0"/>
              <w:left w:val="single" w:color="auto" w:sz="4"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新昌</w:t>
            </w:r>
            <w:r>
              <w:rPr>
                <w:rFonts w:hint="eastAsia" w:ascii="Times New Roman" w:hAnsi="Times New Roman" w:eastAsia="黑体" w:cs="Times New Roman"/>
                <w:color w:val="auto"/>
                <w:spacing w:val="-8"/>
                <w:w w:val="90"/>
                <w:sz w:val="28"/>
                <w:szCs w:val="28"/>
              </w:rPr>
              <w:t>县</w:t>
            </w:r>
          </w:p>
        </w:tc>
        <w:tc>
          <w:tcPr>
            <w:tcW w:w="1469" w:type="dxa"/>
            <w:vMerge w:val="restart"/>
            <w:tcBorders>
              <w:top w:val="single" w:color="auto" w:sz="12" w:space="0"/>
              <w:left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blHeader/>
          <w:jc w:val="center"/>
        </w:trPr>
        <w:tc>
          <w:tcPr>
            <w:tcW w:w="652" w:type="dxa"/>
            <w:vMerge w:val="continue"/>
            <w:tcBorders>
              <w:left w:val="single" w:color="auto" w:sz="12" w:space="0"/>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p>
        </w:tc>
        <w:tc>
          <w:tcPr>
            <w:tcW w:w="2977" w:type="dxa"/>
            <w:vMerge w:val="continue"/>
            <w:tcBorders>
              <w:bottom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p>
        </w:tc>
        <w:tc>
          <w:tcPr>
            <w:tcW w:w="1418" w:type="dxa"/>
            <w:tcBorders>
              <w:left w:val="single" w:color="auto" w:sz="12" w:space="0"/>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992"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20"/>
                <w:w w:val="80"/>
                <w:sz w:val="28"/>
                <w:szCs w:val="28"/>
              </w:rPr>
            </w:pPr>
            <w:r>
              <w:rPr>
                <w:rFonts w:ascii="Times New Roman" w:hAnsi="Times New Roman" w:eastAsia="黑体" w:cs="Times New Roman"/>
                <w:color w:val="auto"/>
                <w:spacing w:val="-20"/>
                <w:w w:val="80"/>
                <w:sz w:val="28"/>
                <w:szCs w:val="28"/>
              </w:rPr>
              <w:t>完成率</w:t>
            </w:r>
          </w:p>
        </w:tc>
        <w:tc>
          <w:tcPr>
            <w:tcW w:w="1134"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1418"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51"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51" w:type="dxa"/>
            <w:tcBorders>
              <w:bottom w:val="single" w:color="auto" w:sz="12" w:space="0"/>
              <w:right w:val="single" w:color="auto" w:sz="4"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left w:val="single" w:color="auto" w:sz="4" w:space="0"/>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51"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51"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51"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850"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目标</w:t>
            </w:r>
          </w:p>
        </w:tc>
        <w:tc>
          <w:tcPr>
            <w:tcW w:w="882" w:type="dxa"/>
            <w:tcBorders>
              <w:bottom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r>
              <w:rPr>
                <w:rFonts w:ascii="Times New Roman" w:hAnsi="Times New Roman" w:eastAsia="黑体" w:cs="Times New Roman"/>
                <w:color w:val="auto"/>
                <w:spacing w:val="-8"/>
                <w:w w:val="90"/>
                <w:sz w:val="28"/>
                <w:szCs w:val="28"/>
              </w:rPr>
              <w:t>完成</w:t>
            </w:r>
          </w:p>
        </w:tc>
        <w:tc>
          <w:tcPr>
            <w:tcW w:w="1469" w:type="dxa"/>
            <w:vMerge w:val="continue"/>
            <w:tcBorders>
              <w:left w:val="single" w:color="auto" w:sz="12" w:space="0"/>
              <w:bottom w:val="single" w:color="auto" w:sz="12" w:space="0"/>
              <w:right w:val="single" w:color="auto" w:sz="12" w:space="0"/>
            </w:tcBorders>
            <w:vAlign w:val="center"/>
          </w:tcPr>
          <w:p>
            <w:pPr>
              <w:spacing w:line="320" w:lineRule="exact"/>
              <w:jc w:val="center"/>
              <w:rPr>
                <w:rFonts w:ascii="Times New Roman" w:hAnsi="Times New Roman" w:eastAsia="黑体" w:cs="Times New Roman"/>
                <w:color w:val="auto"/>
                <w:spacing w:val="-8"/>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建成ETC应用场景</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1"/>
              </w:rPr>
            </w:pPr>
            <w:r>
              <w:rPr>
                <w:rFonts w:ascii="Times New Roman" w:hAnsi="Times New Roman" w:eastAsia="仿宋_GB2312" w:cs="Times New Roman"/>
                <w:color w:val="auto"/>
                <w:sz w:val="24"/>
                <w:szCs w:val="24"/>
              </w:rPr>
              <w:t>12个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1"/>
              </w:rPr>
            </w:pPr>
            <w:r>
              <w:rPr>
                <w:rFonts w:hint="eastAsia" w:ascii="Times New Roman" w:hAnsi="Times New Roman" w:eastAsia="仿宋_GB2312" w:cs="Times New Roman"/>
                <w:color w:val="auto"/>
                <w:sz w:val="24"/>
                <w:szCs w:val="21"/>
              </w:rPr>
              <w:t>8</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66.7%</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新建（改建）公交首末站（停保场）</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20</w:t>
            </w:r>
            <w:r>
              <w:rPr>
                <w:rFonts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新建乡镇新能源公交充电站</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6个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33.3%</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w:t>
            </w:r>
          </w:p>
        </w:tc>
        <w:tc>
          <w:tcPr>
            <w:tcW w:w="882"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新建（改建）公交候车亭</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200个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134</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67.0</w:t>
            </w:r>
            <w:r>
              <w:rPr>
                <w:rFonts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30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18</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30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34</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40</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50</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w:t>
            </w: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30</w:t>
            </w:r>
          </w:p>
        </w:tc>
        <w:tc>
          <w:tcPr>
            <w:tcW w:w="882"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52</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新建公交电子站牌</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50个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52</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104</w:t>
            </w:r>
            <w:r>
              <w:rPr>
                <w:rFonts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14</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14</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14</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w:t>
            </w:r>
          </w:p>
        </w:tc>
        <w:tc>
          <w:tcPr>
            <w:tcW w:w="850"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82" w:type="dxa"/>
            <w:shd w:val="clear" w:color="auto" w:fill="auto"/>
            <w:vAlign w:val="center"/>
          </w:tcPr>
          <w:p>
            <w:pPr>
              <w:adjustRightInd w:val="0"/>
              <w:snapToGrid w:val="0"/>
              <w:spacing w:line="320" w:lineRule="exact"/>
              <w:jc w:val="center"/>
              <w:textAlignment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新增或更新公交车</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500辆以上</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70</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14.0</w:t>
            </w:r>
            <w:r>
              <w:rPr>
                <w:rFonts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59</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85</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30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129</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48</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22</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实施农村公路提升改造</w:t>
            </w:r>
            <w:r>
              <w:rPr>
                <w:rFonts w:ascii="Cambria Math" w:hAnsi="Cambria Math" w:eastAsia="仿宋_GB2312" w:cs="Cambria Math"/>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120</w:t>
            </w:r>
          </w:p>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公里</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98.99</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82.5%</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14</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13</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21.39</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25</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27</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建设改造公交站点</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50个</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50</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100</w:t>
            </w:r>
            <w:r>
              <w:rPr>
                <w:rFonts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15</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7</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组建老年人、残疾人出租车爱心服务车队</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30辆</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85</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283</w:t>
            </w:r>
            <w:r>
              <w:rPr>
                <w:rFonts w:hint="eastAsia" w:ascii="Times New Roman" w:hAnsi="Times New Roman" w:eastAsia="仿宋_GB2312" w:cs="Times New Roman"/>
                <w:color w:val="auto"/>
                <w:sz w:val="24"/>
                <w:szCs w:val="24"/>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bCs/>
                <w:color w:val="auto"/>
                <w:sz w:val="24"/>
                <w:szCs w:val="24"/>
              </w:rPr>
              <w:t>5</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30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15</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5</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5</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15</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新（改）建农村公路</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75</w:t>
            </w:r>
          </w:p>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公里</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56.9</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75.9%</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3</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12</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9</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12.962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16</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12.5</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16</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11.33</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16</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9.5</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200人以上自然村公路通达率</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100%</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100%</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实施农村公路养护</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420公里</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256.336</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61%</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16</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62</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45.29</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70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46.013</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112</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76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60.433</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60</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rPr>
              <w:t>26.6</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农村公路中等路以上比例</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85%</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85%</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12789" w:type="dxa"/>
            <w:gridSpan w:val="14"/>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被评定为优、良、中三个等级的公路里程总和占抽检里程的比例达到85%。</w:t>
            </w:r>
            <w:r>
              <w:rPr>
                <w:rFonts w:hint="eastAsia" w:ascii="Times New Roman" w:hAnsi="Times New Roman" w:eastAsia="仿宋_GB2312" w:cs="Times New Roman"/>
                <w:color w:val="auto"/>
                <w:sz w:val="24"/>
                <w:szCs w:val="24"/>
              </w:rPr>
              <w:t>最终按</w:t>
            </w:r>
            <w:r>
              <w:rPr>
                <w:rFonts w:ascii="Times New Roman" w:hAnsi="Times New Roman" w:eastAsia="仿宋_GB2312" w:cs="Times New Roman"/>
                <w:color w:val="auto"/>
                <w:sz w:val="24"/>
                <w:szCs w:val="24"/>
              </w:rPr>
              <w:t>全省农村公路省级抽检</w:t>
            </w:r>
            <w:r>
              <w:rPr>
                <w:rFonts w:hint="eastAsia" w:ascii="Times New Roman" w:hAnsi="Times New Roman" w:eastAsia="仿宋_GB2312" w:cs="Times New Roman"/>
                <w:color w:val="auto"/>
                <w:sz w:val="24"/>
                <w:szCs w:val="24"/>
              </w:rPr>
              <w:t>结果评定。</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52" w:type="dxa"/>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实现临水临崖及4米以上高落差路段安防设施全覆盖</w:t>
            </w:r>
            <w:r>
              <w:rPr>
                <w:rFonts w:hint="eastAsia" w:ascii="宋体" w:hAnsi="宋体" w:eastAsia="宋体" w:cs="宋体"/>
                <w:color w:val="auto"/>
                <w:sz w:val="28"/>
              </w:rPr>
              <w:t>☆</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auto"/>
                <w:sz w:val="24"/>
                <w:szCs w:val="24"/>
              </w:rPr>
            </w:pPr>
            <w:r>
              <w:rPr>
                <w:rFonts w:ascii="Times New Roman" w:hAnsi="Times New Roman" w:eastAsia="仿宋_GB2312" w:cs="Times New Roman"/>
                <w:bCs/>
                <w:color w:val="auto"/>
                <w:sz w:val="24"/>
                <w:szCs w:val="24"/>
              </w:rPr>
              <w:t>100%</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100%</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auto"/>
                <w:spacing w:val="-20"/>
                <w:sz w:val="24"/>
                <w:szCs w:val="24"/>
              </w:rPr>
            </w:pPr>
            <w:r>
              <w:rPr>
                <w:rFonts w:ascii="Times New Roman" w:hAnsi="Times New Roman" w:eastAsia="仿宋_GB2312" w:cs="Times New Roman"/>
                <w:color w:val="auto"/>
                <w:spacing w:val="-20"/>
                <w:sz w:val="24"/>
                <w:szCs w:val="24"/>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652" w:type="dxa"/>
            <w:vMerge w:val="restart"/>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auto"/>
                <w:spacing w:val="-8"/>
                <w:w w:val="90"/>
                <w:sz w:val="28"/>
                <w:szCs w:val="28"/>
              </w:rPr>
            </w:pPr>
          </w:p>
        </w:tc>
        <w:tc>
          <w:tcPr>
            <w:tcW w:w="2977" w:type="dxa"/>
            <w:vMerge w:val="restart"/>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综合交通建设投资</w:t>
            </w: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326亿元</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236.9</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72.7</w:t>
            </w: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103.1</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73.3</w:t>
            </w: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34.4</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61.8</w:t>
            </w: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67.6</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58.1%</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57.8</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67.6%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30.7</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65.6%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40.1</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60.6%</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bCs/>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24.3</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70.9%</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C00000"/>
                <w:spacing w:val="-20"/>
                <w:sz w:val="24"/>
                <w:szCs w:val="24"/>
              </w:rPr>
            </w:pPr>
            <w:r>
              <w:rPr>
                <w:rFonts w:ascii="Times New Roman" w:hAnsi="Times New Roman" w:eastAsia="仿宋_GB2312" w:cs="Times New Roman"/>
                <w:color w:val="000000" w:themeColor="text1"/>
                <w:spacing w:val="-20"/>
                <w:sz w:val="24"/>
                <w:szCs w:val="24"/>
                <w14:textFill>
                  <w14:solidFill>
                    <w14:schemeClr w14:val="tx1"/>
                  </w14:solidFill>
                </w14:textFill>
              </w:rPr>
              <w:t>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652" w:type="dxa"/>
            <w:vMerge w:val="continue"/>
            <w:tcBorders>
              <w:left w:val="single" w:color="auto" w:sz="12" w:space="0"/>
            </w:tcBorders>
            <w:shd w:val="clear" w:color="auto" w:fill="auto"/>
            <w:vAlign w:val="center"/>
          </w:tcPr>
          <w:p>
            <w:pPr>
              <w:pStyle w:val="11"/>
              <w:numPr>
                <w:ilvl w:val="0"/>
                <w:numId w:val="1"/>
              </w:numPr>
              <w:spacing w:line="320" w:lineRule="exact"/>
              <w:ind w:right="236" w:firstLineChars="0"/>
              <w:jc w:val="center"/>
              <w:rPr>
                <w:rFonts w:ascii="Times New Roman" w:hAnsi="Times New Roman" w:eastAsia="仿宋_GB2312" w:cs="Times New Roman"/>
                <w:color w:val="C00000"/>
                <w:spacing w:val="-8"/>
                <w:w w:val="90"/>
                <w:sz w:val="28"/>
                <w:szCs w:val="28"/>
              </w:rPr>
            </w:pPr>
          </w:p>
        </w:tc>
        <w:tc>
          <w:tcPr>
            <w:tcW w:w="2977" w:type="dxa"/>
            <w:vMerge w:val="continue"/>
            <w:tcBorders>
              <w:right w:val="single" w:color="auto" w:sz="12" w:space="0"/>
            </w:tcBorders>
            <w:shd w:val="clear" w:color="auto" w:fill="auto"/>
            <w:vAlign w:val="center"/>
          </w:tcPr>
          <w:p>
            <w:pPr>
              <w:adjustRightInd w:val="0"/>
              <w:snapToGrid w:val="0"/>
              <w:spacing w:line="320" w:lineRule="exact"/>
              <w:rPr>
                <w:rFonts w:ascii="Times New Roman" w:hAnsi="Times New Roman" w:eastAsia="仿宋_GB2312" w:cs="Times New Roman"/>
                <w:color w:val="C00000"/>
                <w:sz w:val="24"/>
                <w:szCs w:val="24"/>
              </w:rPr>
            </w:pPr>
          </w:p>
        </w:tc>
        <w:tc>
          <w:tcPr>
            <w:tcW w:w="1418" w:type="dxa"/>
            <w:tcBorders>
              <w:lef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同比增长10%</w:t>
            </w:r>
          </w:p>
        </w:tc>
        <w:tc>
          <w:tcPr>
            <w:tcW w:w="992"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2"/>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5</w:t>
            </w:r>
            <w:r>
              <w:rPr>
                <w:rFonts w:hint="eastAsia" w:ascii="Times New Roman" w:hAnsi="Times New Roman" w:eastAsia="仿宋_GB2312" w:cs="Times New Roman"/>
                <w:bCs/>
                <w:color w:val="000000" w:themeColor="text1"/>
                <w:sz w:val="24"/>
                <w:szCs w:val="24"/>
                <w14:textFill>
                  <w14:solidFill>
                    <w14:schemeClr w14:val="tx1"/>
                  </w14:solidFill>
                </w14:textFill>
              </w:rPr>
              <w:t>.1%</w:t>
            </w:r>
          </w:p>
        </w:tc>
        <w:tc>
          <w:tcPr>
            <w:tcW w:w="850" w:type="dxa"/>
            <w:tcBorders>
              <w:right w:val="single" w:color="auto" w:sz="12"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w:t>
            </w:r>
          </w:p>
        </w:tc>
        <w:tc>
          <w:tcPr>
            <w:tcW w:w="1134"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w:t>
            </w:r>
          </w:p>
        </w:tc>
        <w:tc>
          <w:tcPr>
            <w:tcW w:w="1418"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0.9</w:t>
            </w: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ascii="Times New Roman" w:hAnsi="Times New Roman" w:eastAsia="仿宋_GB2312" w:cs="Times New Roman"/>
                <w:bCs/>
                <w:color w:val="000000" w:themeColor="text1"/>
                <w:sz w:val="24"/>
                <w:szCs w:val="24"/>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93.4%</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1" w:type="dxa"/>
            <w:tcBorders>
              <w:righ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-2.2%</w:t>
            </w:r>
          </w:p>
        </w:tc>
        <w:tc>
          <w:tcPr>
            <w:tcW w:w="850" w:type="dxa"/>
            <w:tcBorders>
              <w:left w:val="single" w:color="auto" w:sz="4" w:space="0"/>
            </w:tcBorders>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25.3%</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29.1%</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51"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-24.8%</w:t>
            </w:r>
          </w:p>
        </w:tc>
        <w:tc>
          <w:tcPr>
            <w:tcW w:w="850"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14:textFill>
                  <w14:solidFill>
                    <w14:schemeClr w14:val="tx1"/>
                  </w14:solidFill>
                </w14:textFill>
              </w:rPr>
              <w:t>—</w:t>
            </w:r>
          </w:p>
        </w:tc>
        <w:tc>
          <w:tcPr>
            <w:tcW w:w="882" w:type="dxa"/>
            <w:shd w:val="clear" w:color="auto" w:fill="auto"/>
            <w:vAlign w:val="center"/>
          </w:tcPr>
          <w:p>
            <w:pPr>
              <w:adjustRightInd w:val="0"/>
              <w:snapToGrid w:val="0"/>
              <w:spacing w:line="320" w:lineRule="exact"/>
              <w:jc w:val="center"/>
              <w:rPr>
                <w:rFonts w:ascii="Times New Roman" w:hAnsi="Times New Roman" w:eastAsia="仿宋_GB2312" w:cs="Times New Roman"/>
                <w:color w:val="FF0000"/>
                <w:sz w:val="24"/>
                <w:szCs w:val="24"/>
              </w:rPr>
            </w:pPr>
            <w:r>
              <w:rPr>
                <w:rFonts w:hint="eastAsia" w:ascii="Times New Roman" w:hAnsi="Times New Roman" w:eastAsia="仿宋_GB2312" w:cs="Times New Roman"/>
                <w:bCs/>
                <w:color w:val="000000" w:themeColor="text1"/>
                <w:sz w:val="24"/>
                <w:szCs w:val="24"/>
                <w:lang w:val="en-US" w:eastAsia="zh-CN"/>
                <w14:textFill>
                  <w14:solidFill>
                    <w14:schemeClr w14:val="tx1"/>
                  </w14:solidFill>
                </w14:textFill>
              </w:rPr>
              <w:t>-8.9%</w:t>
            </w:r>
          </w:p>
        </w:tc>
        <w:tc>
          <w:tcPr>
            <w:tcW w:w="1469" w:type="dxa"/>
            <w:tcBorders>
              <w:left w:val="single" w:color="auto" w:sz="12" w:space="0"/>
              <w:right w:val="single" w:color="auto" w:sz="12" w:space="0"/>
            </w:tcBorders>
            <w:shd w:val="clear" w:color="auto" w:fill="auto"/>
            <w:vAlign w:val="center"/>
          </w:tcPr>
          <w:p>
            <w:pPr>
              <w:jc w:val="center"/>
              <w:rPr>
                <w:rFonts w:ascii="Times New Roman" w:hAnsi="Times New Roman" w:eastAsia="仿宋_GB2312" w:cs="Times New Roman"/>
                <w:color w:val="C00000"/>
                <w:spacing w:val="-20"/>
                <w:sz w:val="24"/>
                <w:szCs w:val="24"/>
              </w:rPr>
            </w:pPr>
            <w:r>
              <w:rPr>
                <w:rFonts w:ascii="Times New Roman" w:hAnsi="Times New Roman" w:eastAsia="仿宋_GB2312" w:cs="Times New Roman"/>
                <w:color w:val="000000" w:themeColor="text1"/>
                <w:spacing w:val="-20"/>
                <w:sz w:val="24"/>
                <w:szCs w:val="24"/>
                <w14:textFill>
                  <w14:solidFill>
                    <w14:schemeClr w14:val="tx1"/>
                  </w14:solidFill>
                </w14:textFill>
              </w:rPr>
              <w:t>市交通运输局</w:t>
            </w:r>
          </w:p>
        </w:tc>
      </w:tr>
    </w:tbl>
    <w:p>
      <w:pPr>
        <w:spacing w:line="400" w:lineRule="exact"/>
        <w:ind w:firstLine="560" w:firstLineChars="200"/>
        <w:rPr>
          <w:rFonts w:ascii="Times New Roman" w:hAnsi="Times New Roman" w:eastAsia="方正小标宋简体" w:cs="Times New Roman"/>
          <w:color w:val="auto"/>
          <w:sz w:val="40"/>
        </w:rPr>
      </w:pPr>
      <w:r>
        <w:rPr>
          <w:rFonts w:ascii="Times New Roman" w:hAnsi="Times New Roman" w:eastAsia="黑体" w:cs="Times New Roman"/>
          <w:color w:val="auto"/>
          <w:sz w:val="28"/>
        </w:rPr>
        <w:t>填表说明：</w:t>
      </w:r>
      <w:r>
        <w:rPr>
          <w:rFonts w:ascii="Times New Roman" w:hAnsi="Times New Roman" w:eastAsia="仿宋_GB2312" w:cs="Times New Roman"/>
          <w:color w:val="auto"/>
          <w:sz w:val="28"/>
        </w:rPr>
        <w:t>1.本表由市级相关部门填写，并每月25日前报送至市府办城交处；2.工作内容为省级以上任务目标、市政府重点工作清单任务、岗位目标责任制任务、民生实事（</w:t>
      </w:r>
      <w:r>
        <w:rPr>
          <w:rFonts w:ascii="Cambria Math" w:hAnsi="Cambria Math" w:eastAsia="仿宋_GB2312" w:cs="Cambria Math"/>
          <w:color w:val="auto"/>
          <w:sz w:val="28"/>
        </w:rPr>
        <w:t>△</w:t>
      </w:r>
      <w:r>
        <w:rPr>
          <w:rFonts w:ascii="Times New Roman" w:hAnsi="Times New Roman" w:eastAsia="仿宋_GB2312" w:cs="Times New Roman"/>
          <w:color w:val="auto"/>
          <w:sz w:val="28"/>
        </w:rPr>
        <w:t>市、</w:t>
      </w:r>
      <w:r>
        <w:rPr>
          <w:rFonts w:hint="eastAsia" w:ascii="宋体" w:hAnsi="宋体" w:eastAsia="宋体" w:cs="宋体"/>
          <w:color w:val="auto"/>
          <w:sz w:val="28"/>
        </w:rPr>
        <w:t>☆</w:t>
      </w:r>
      <w:r>
        <w:rPr>
          <w:rFonts w:ascii="Times New Roman" w:hAnsi="Times New Roman" w:eastAsia="仿宋_GB2312" w:cs="Times New Roman"/>
          <w:color w:val="auto"/>
          <w:sz w:val="28"/>
        </w:rPr>
        <w:t>省）等工作中可具体量化的指标。</w:t>
      </w:r>
    </w:p>
    <w:sectPr>
      <w:footerReference r:id="rId3" w:type="default"/>
      <w:pgSz w:w="23814" w:h="16840"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784153"/>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0FD1"/>
    <w:multiLevelType w:val="multilevel"/>
    <w:tmpl w:val="39610FD1"/>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70"/>
    <w:rsid w:val="0000075D"/>
    <w:rsid w:val="0000148B"/>
    <w:rsid w:val="00003745"/>
    <w:rsid w:val="00003F2A"/>
    <w:rsid w:val="00004D44"/>
    <w:rsid w:val="00005670"/>
    <w:rsid w:val="000132C7"/>
    <w:rsid w:val="000137B9"/>
    <w:rsid w:val="00013C8B"/>
    <w:rsid w:val="00022840"/>
    <w:rsid w:val="000228CB"/>
    <w:rsid w:val="000235B6"/>
    <w:rsid w:val="000240FC"/>
    <w:rsid w:val="00033A1E"/>
    <w:rsid w:val="00041417"/>
    <w:rsid w:val="00045697"/>
    <w:rsid w:val="00052529"/>
    <w:rsid w:val="000535DA"/>
    <w:rsid w:val="00055039"/>
    <w:rsid w:val="00060F33"/>
    <w:rsid w:val="00061D8C"/>
    <w:rsid w:val="00063459"/>
    <w:rsid w:val="00066645"/>
    <w:rsid w:val="00070394"/>
    <w:rsid w:val="0007294F"/>
    <w:rsid w:val="00074200"/>
    <w:rsid w:val="000825ED"/>
    <w:rsid w:val="00082C88"/>
    <w:rsid w:val="000834E4"/>
    <w:rsid w:val="000847ED"/>
    <w:rsid w:val="00084D99"/>
    <w:rsid w:val="00091D01"/>
    <w:rsid w:val="00095656"/>
    <w:rsid w:val="000973C6"/>
    <w:rsid w:val="00097A62"/>
    <w:rsid w:val="000A3A35"/>
    <w:rsid w:val="000A3D62"/>
    <w:rsid w:val="000A5B7A"/>
    <w:rsid w:val="000A5F03"/>
    <w:rsid w:val="000A6C31"/>
    <w:rsid w:val="000A7672"/>
    <w:rsid w:val="000B53AB"/>
    <w:rsid w:val="000B6955"/>
    <w:rsid w:val="000C1BA2"/>
    <w:rsid w:val="000C44B3"/>
    <w:rsid w:val="000C750F"/>
    <w:rsid w:val="000D0C96"/>
    <w:rsid w:val="000D1627"/>
    <w:rsid w:val="000D2302"/>
    <w:rsid w:val="000D5A31"/>
    <w:rsid w:val="000D6756"/>
    <w:rsid w:val="000D6FEF"/>
    <w:rsid w:val="000E2CFB"/>
    <w:rsid w:val="000F189E"/>
    <w:rsid w:val="000F28A2"/>
    <w:rsid w:val="000F67A2"/>
    <w:rsid w:val="000F7265"/>
    <w:rsid w:val="000F7A5E"/>
    <w:rsid w:val="000F7D82"/>
    <w:rsid w:val="00100E59"/>
    <w:rsid w:val="001023FA"/>
    <w:rsid w:val="00102654"/>
    <w:rsid w:val="0010768C"/>
    <w:rsid w:val="0010784A"/>
    <w:rsid w:val="001123FD"/>
    <w:rsid w:val="001127CA"/>
    <w:rsid w:val="00113581"/>
    <w:rsid w:val="00113B37"/>
    <w:rsid w:val="00115774"/>
    <w:rsid w:val="00115E0F"/>
    <w:rsid w:val="001164D6"/>
    <w:rsid w:val="001250C3"/>
    <w:rsid w:val="001262EC"/>
    <w:rsid w:val="001358E2"/>
    <w:rsid w:val="0013736F"/>
    <w:rsid w:val="00137B78"/>
    <w:rsid w:val="00137D4D"/>
    <w:rsid w:val="00145ADF"/>
    <w:rsid w:val="001544B4"/>
    <w:rsid w:val="00155561"/>
    <w:rsid w:val="0015614A"/>
    <w:rsid w:val="001563C2"/>
    <w:rsid w:val="0015780F"/>
    <w:rsid w:val="00161B27"/>
    <w:rsid w:val="0016255C"/>
    <w:rsid w:val="00162855"/>
    <w:rsid w:val="00164119"/>
    <w:rsid w:val="0016519D"/>
    <w:rsid w:val="00166CDD"/>
    <w:rsid w:val="00167D36"/>
    <w:rsid w:val="00173B0D"/>
    <w:rsid w:val="00175D0A"/>
    <w:rsid w:val="0017606F"/>
    <w:rsid w:val="00176619"/>
    <w:rsid w:val="00182283"/>
    <w:rsid w:val="00182710"/>
    <w:rsid w:val="00184FEF"/>
    <w:rsid w:val="00185FA9"/>
    <w:rsid w:val="0018667F"/>
    <w:rsid w:val="00187A5E"/>
    <w:rsid w:val="00191537"/>
    <w:rsid w:val="00194297"/>
    <w:rsid w:val="00197034"/>
    <w:rsid w:val="001A1EB9"/>
    <w:rsid w:val="001A4D2F"/>
    <w:rsid w:val="001A59E3"/>
    <w:rsid w:val="001A647C"/>
    <w:rsid w:val="001A72E1"/>
    <w:rsid w:val="001A7869"/>
    <w:rsid w:val="001B5674"/>
    <w:rsid w:val="001B56E1"/>
    <w:rsid w:val="001B5B55"/>
    <w:rsid w:val="001C2537"/>
    <w:rsid w:val="001C4169"/>
    <w:rsid w:val="001C5E49"/>
    <w:rsid w:val="001D2DFF"/>
    <w:rsid w:val="001D2F0C"/>
    <w:rsid w:val="001D43AA"/>
    <w:rsid w:val="001D6429"/>
    <w:rsid w:val="001D6438"/>
    <w:rsid w:val="001D7731"/>
    <w:rsid w:val="001E206D"/>
    <w:rsid w:val="001E36F5"/>
    <w:rsid w:val="001E756B"/>
    <w:rsid w:val="001F62E7"/>
    <w:rsid w:val="0020069C"/>
    <w:rsid w:val="002013A4"/>
    <w:rsid w:val="00203370"/>
    <w:rsid w:val="0020455B"/>
    <w:rsid w:val="002069F8"/>
    <w:rsid w:val="00207A93"/>
    <w:rsid w:val="00210AAB"/>
    <w:rsid w:val="00211536"/>
    <w:rsid w:val="00211EAF"/>
    <w:rsid w:val="00222EC2"/>
    <w:rsid w:val="00224707"/>
    <w:rsid w:val="00225A68"/>
    <w:rsid w:val="00225E4F"/>
    <w:rsid w:val="00226411"/>
    <w:rsid w:val="00227F70"/>
    <w:rsid w:val="002304BA"/>
    <w:rsid w:val="00236A7A"/>
    <w:rsid w:val="00236EF7"/>
    <w:rsid w:val="00243618"/>
    <w:rsid w:val="0025343E"/>
    <w:rsid w:val="002564A4"/>
    <w:rsid w:val="00256EE1"/>
    <w:rsid w:val="00260168"/>
    <w:rsid w:val="00263604"/>
    <w:rsid w:val="0026689D"/>
    <w:rsid w:val="002672A5"/>
    <w:rsid w:val="00267705"/>
    <w:rsid w:val="00284C6D"/>
    <w:rsid w:val="00285011"/>
    <w:rsid w:val="00285A11"/>
    <w:rsid w:val="00290DA1"/>
    <w:rsid w:val="00291D4B"/>
    <w:rsid w:val="002954A2"/>
    <w:rsid w:val="002954A9"/>
    <w:rsid w:val="00295862"/>
    <w:rsid w:val="0029588F"/>
    <w:rsid w:val="002960CC"/>
    <w:rsid w:val="002977C2"/>
    <w:rsid w:val="002A3B39"/>
    <w:rsid w:val="002A4410"/>
    <w:rsid w:val="002A559C"/>
    <w:rsid w:val="002A747D"/>
    <w:rsid w:val="002A7D99"/>
    <w:rsid w:val="002C30D4"/>
    <w:rsid w:val="002C6350"/>
    <w:rsid w:val="002C656D"/>
    <w:rsid w:val="002D01B4"/>
    <w:rsid w:val="002D3DC8"/>
    <w:rsid w:val="002D6D6C"/>
    <w:rsid w:val="002E037E"/>
    <w:rsid w:val="002E1139"/>
    <w:rsid w:val="002E357B"/>
    <w:rsid w:val="002E4493"/>
    <w:rsid w:val="002E5B1F"/>
    <w:rsid w:val="002E5F56"/>
    <w:rsid w:val="002E6C4A"/>
    <w:rsid w:val="002F12FA"/>
    <w:rsid w:val="002F1737"/>
    <w:rsid w:val="002F4959"/>
    <w:rsid w:val="002F4B06"/>
    <w:rsid w:val="002F6CCD"/>
    <w:rsid w:val="002F7014"/>
    <w:rsid w:val="002F78A8"/>
    <w:rsid w:val="002F78E1"/>
    <w:rsid w:val="002F7C91"/>
    <w:rsid w:val="002F7E7B"/>
    <w:rsid w:val="00301444"/>
    <w:rsid w:val="00301A05"/>
    <w:rsid w:val="003034CA"/>
    <w:rsid w:val="00304668"/>
    <w:rsid w:val="003057C9"/>
    <w:rsid w:val="00305DB3"/>
    <w:rsid w:val="00310E3A"/>
    <w:rsid w:val="00311B2D"/>
    <w:rsid w:val="00312E29"/>
    <w:rsid w:val="00313E30"/>
    <w:rsid w:val="00314155"/>
    <w:rsid w:val="0032023B"/>
    <w:rsid w:val="003208CC"/>
    <w:rsid w:val="0032112B"/>
    <w:rsid w:val="00324257"/>
    <w:rsid w:val="00324955"/>
    <w:rsid w:val="00333213"/>
    <w:rsid w:val="00333261"/>
    <w:rsid w:val="003345B9"/>
    <w:rsid w:val="00337AF9"/>
    <w:rsid w:val="00340D0B"/>
    <w:rsid w:val="0034121B"/>
    <w:rsid w:val="0034164B"/>
    <w:rsid w:val="00341E21"/>
    <w:rsid w:val="00342638"/>
    <w:rsid w:val="003429E6"/>
    <w:rsid w:val="00343B26"/>
    <w:rsid w:val="00346123"/>
    <w:rsid w:val="0034684B"/>
    <w:rsid w:val="00356C66"/>
    <w:rsid w:val="003602C3"/>
    <w:rsid w:val="00360CC6"/>
    <w:rsid w:val="00360FBD"/>
    <w:rsid w:val="00362B01"/>
    <w:rsid w:val="00363F3B"/>
    <w:rsid w:val="003648F5"/>
    <w:rsid w:val="00364A52"/>
    <w:rsid w:val="003660BA"/>
    <w:rsid w:val="0036688F"/>
    <w:rsid w:val="00367353"/>
    <w:rsid w:val="00375845"/>
    <w:rsid w:val="0038563A"/>
    <w:rsid w:val="003876DC"/>
    <w:rsid w:val="003927DC"/>
    <w:rsid w:val="00393272"/>
    <w:rsid w:val="0039467D"/>
    <w:rsid w:val="00396A4C"/>
    <w:rsid w:val="003A48C5"/>
    <w:rsid w:val="003A7AA0"/>
    <w:rsid w:val="003B2429"/>
    <w:rsid w:val="003B295F"/>
    <w:rsid w:val="003B68A6"/>
    <w:rsid w:val="003B77AF"/>
    <w:rsid w:val="003C0E3D"/>
    <w:rsid w:val="003C1B13"/>
    <w:rsid w:val="003C237F"/>
    <w:rsid w:val="003C2762"/>
    <w:rsid w:val="003C2B85"/>
    <w:rsid w:val="003C41F6"/>
    <w:rsid w:val="003C46B7"/>
    <w:rsid w:val="003C4742"/>
    <w:rsid w:val="003C5E36"/>
    <w:rsid w:val="003C6B18"/>
    <w:rsid w:val="003D04DA"/>
    <w:rsid w:val="003D15AB"/>
    <w:rsid w:val="003D3527"/>
    <w:rsid w:val="003D43DA"/>
    <w:rsid w:val="003E041A"/>
    <w:rsid w:val="003E0FAB"/>
    <w:rsid w:val="003E2B84"/>
    <w:rsid w:val="003E5F78"/>
    <w:rsid w:val="003E6EDA"/>
    <w:rsid w:val="003E7DFE"/>
    <w:rsid w:val="003F410A"/>
    <w:rsid w:val="003F602C"/>
    <w:rsid w:val="004008A2"/>
    <w:rsid w:val="00401E1F"/>
    <w:rsid w:val="00404C7B"/>
    <w:rsid w:val="004078CF"/>
    <w:rsid w:val="00411303"/>
    <w:rsid w:val="0041193D"/>
    <w:rsid w:val="004127D6"/>
    <w:rsid w:val="00413044"/>
    <w:rsid w:val="00414AA7"/>
    <w:rsid w:val="0041632B"/>
    <w:rsid w:val="004179D8"/>
    <w:rsid w:val="004205B7"/>
    <w:rsid w:val="004216F5"/>
    <w:rsid w:val="00422C2A"/>
    <w:rsid w:val="0042312F"/>
    <w:rsid w:val="00423945"/>
    <w:rsid w:val="00423B02"/>
    <w:rsid w:val="00425FFC"/>
    <w:rsid w:val="0042672B"/>
    <w:rsid w:val="00427EBF"/>
    <w:rsid w:val="00434015"/>
    <w:rsid w:val="00434023"/>
    <w:rsid w:val="00435EF9"/>
    <w:rsid w:val="004360A8"/>
    <w:rsid w:val="00440B44"/>
    <w:rsid w:val="00444608"/>
    <w:rsid w:val="00445279"/>
    <w:rsid w:val="00446E49"/>
    <w:rsid w:val="00455BFF"/>
    <w:rsid w:val="00457771"/>
    <w:rsid w:val="00457944"/>
    <w:rsid w:val="00461695"/>
    <w:rsid w:val="00466575"/>
    <w:rsid w:val="00466FDD"/>
    <w:rsid w:val="00467C31"/>
    <w:rsid w:val="00467EA3"/>
    <w:rsid w:val="00474165"/>
    <w:rsid w:val="00474805"/>
    <w:rsid w:val="00474901"/>
    <w:rsid w:val="00474FB2"/>
    <w:rsid w:val="0047636E"/>
    <w:rsid w:val="00477499"/>
    <w:rsid w:val="00477730"/>
    <w:rsid w:val="004902C8"/>
    <w:rsid w:val="0049185F"/>
    <w:rsid w:val="0049218B"/>
    <w:rsid w:val="004A2232"/>
    <w:rsid w:val="004A40AD"/>
    <w:rsid w:val="004A4E8F"/>
    <w:rsid w:val="004A6E17"/>
    <w:rsid w:val="004B6ED0"/>
    <w:rsid w:val="004C0D61"/>
    <w:rsid w:val="004C1A87"/>
    <w:rsid w:val="004C67B2"/>
    <w:rsid w:val="004C6AD9"/>
    <w:rsid w:val="004C6FB1"/>
    <w:rsid w:val="004D2A5C"/>
    <w:rsid w:val="004D4071"/>
    <w:rsid w:val="004D52F8"/>
    <w:rsid w:val="004D5576"/>
    <w:rsid w:val="004D7048"/>
    <w:rsid w:val="004D78D9"/>
    <w:rsid w:val="004D7D2D"/>
    <w:rsid w:val="004E477F"/>
    <w:rsid w:val="004E4F83"/>
    <w:rsid w:val="004E5A77"/>
    <w:rsid w:val="004E71CB"/>
    <w:rsid w:val="004F0889"/>
    <w:rsid w:val="004F159E"/>
    <w:rsid w:val="004F61CB"/>
    <w:rsid w:val="004F6D7C"/>
    <w:rsid w:val="00504B30"/>
    <w:rsid w:val="00505D66"/>
    <w:rsid w:val="00510504"/>
    <w:rsid w:val="0051121F"/>
    <w:rsid w:val="005123D8"/>
    <w:rsid w:val="00512DFC"/>
    <w:rsid w:val="00513030"/>
    <w:rsid w:val="005150F6"/>
    <w:rsid w:val="00516656"/>
    <w:rsid w:val="005175C7"/>
    <w:rsid w:val="00517AE2"/>
    <w:rsid w:val="00517DDB"/>
    <w:rsid w:val="00520863"/>
    <w:rsid w:val="00520E9C"/>
    <w:rsid w:val="00524C24"/>
    <w:rsid w:val="005345D3"/>
    <w:rsid w:val="00535BD0"/>
    <w:rsid w:val="00544534"/>
    <w:rsid w:val="00544C38"/>
    <w:rsid w:val="00546B9F"/>
    <w:rsid w:val="00552552"/>
    <w:rsid w:val="00553C1E"/>
    <w:rsid w:val="0055432C"/>
    <w:rsid w:val="00554B8A"/>
    <w:rsid w:val="00555056"/>
    <w:rsid w:val="0055583A"/>
    <w:rsid w:val="00555DFE"/>
    <w:rsid w:val="0055715D"/>
    <w:rsid w:val="005605F5"/>
    <w:rsid w:val="00560C14"/>
    <w:rsid w:val="00561357"/>
    <w:rsid w:val="00562AC4"/>
    <w:rsid w:val="00563D29"/>
    <w:rsid w:val="00577024"/>
    <w:rsid w:val="00590FB1"/>
    <w:rsid w:val="00592DD1"/>
    <w:rsid w:val="005947DA"/>
    <w:rsid w:val="00597E55"/>
    <w:rsid w:val="005A1C47"/>
    <w:rsid w:val="005A2169"/>
    <w:rsid w:val="005A5906"/>
    <w:rsid w:val="005A67E8"/>
    <w:rsid w:val="005A6D11"/>
    <w:rsid w:val="005B016E"/>
    <w:rsid w:val="005B3E04"/>
    <w:rsid w:val="005B42FF"/>
    <w:rsid w:val="005B4570"/>
    <w:rsid w:val="005B724E"/>
    <w:rsid w:val="005C06F3"/>
    <w:rsid w:val="005C0D01"/>
    <w:rsid w:val="005C1E84"/>
    <w:rsid w:val="005C22DB"/>
    <w:rsid w:val="005C2D04"/>
    <w:rsid w:val="005C31AB"/>
    <w:rsid w:val="005C417C"/>
    <w:rsid w:val="005C6E25"/>
    <w:rsid w:val="005C731E"/>
    <w:rsid w:val="005D00A2"/>
    <w:rsid w:val="005D4B33"/>
    <w:rsid w:val="005D4D7C"/>
    <w:rsid w:val="005D79BD"/>
    <w:rsid w:val="005D7F83"/>
    <w:rsid w:val="005E0AF8"/>
    <w:rsid w:val="005E0DD4"/>
    <w:rsid w:val="005E2444"/>
    <w:rsid w:val="005E251E"/>
    <w:rsid w:val="005E307C"/>
    <w:rsid w:val="005E3A83"/>
    <w:rsid w:val="005E486F"/>
    <w:rsid w:val="005E5E49"/>
    <w:rsid w:val="005F00A7"/>
    <w:rsid w:val="0060334C"/>
    <w:rsid w:val="00604168"/>
    <w:rsid w:val="00605926"/>
    <w:rsid w:val="00606B6C"/>
    <w:rsid w:val="00612E5B"/>
    <w:rsid w:val="0061732E"/>
    <w:rsid w:val="00617D25"/>
    <w:rsid w:val="00620BF3"/>
    <w:rsid w:val="00623825"/>
    <w:rsid w:val="00623E0E"/>
    <w:rsid w:val="00624BD8"/>
    <w:rsid w:val="0062691C"/>
    <w:rsid w:val="00627118"/>
    <w:rsid w:val="00627191"/>
    <w:rsid w:val="0062763F"/>
    <w:rsid w:val="00627A13"/>
    <w:rsid w:val="00631BA5"/>
    <w:rsid w:val="00632606"/>
    <w:rsid w:val="00634C1E"/>
    <w:rsid w:val="00635C69"/>
    <w:rsid w:val="006375E8"/>
    <w:rsid w:val="006519BD"/>
    <w:rsid w:val="00653536"/>
    <w:rsid w:val="00661628"/>
    <w:rsid w:val="00665BA1"/>
    <w:rsid w:val="00665D1E"/>
    <w:rsid w:val="00666AAA"/>
    <w:rsid w:val="006673CD"/>
    <w:rsid w:val="00670181"/>
    <w:rsid w:val="00672673"/>
    <w:rsid w:val="006728A6"/>
    <w:rsid w:val="0067374D"/>
    <w:rsid w:val="00674891"/>
    <w:rsid w:val="00677244"/>
    <w:rsid w:val="0068035F"/>
    <w:rsid w:val="00682633"/>
    <w:rsid w:val="006834C7"/>
    <w:rsid w:val="00683A07"/>
    <w:rsid w:val="0068461F"/>
    <w:rsid w:val="00693EAD"/>
    <w:rsid w:val="00694126"/>
    <w:rsid w:val="006942E8"/>
    <w:rsid w:val="006A2A1C"/>
    <w:rsid w:val="006A478D"/>
    <w:rsid w:val="006B3DCE"/>
    <w:rsid w:val="006B5C99"/>
    <w:rsid w:val="006C0172"/>
    <w:rsid w:val="006C0E03"/>
    <w:rsid w:val="006C57A1"/>
    <w:rsid w:val="006D1CC5"/>
    <w:rsid w:val="006E0399"/>
    <w:rsid w:val="006E0D15"/>
    <w:rsid w:val="006E16C6"/>
    <w:rsid w:val="006E2BD6"/>
    <w:rsid w:val="006E2BFB"/>
    <w:rsid w:val="006F4907"/>
    <w:rsid w:val="006F73FA"/>
    <w:rsid w:val="00703007"/>
    <w:rsid w:val="00703DF2"/>
    <w:rsid w:val="00703EBA"/>
    <w:rsid w:val="00705FE2"/>
    <w:rsid w:val="007069BB"/>
    <w:rsid w:val="00706A39"/>
    <w:rsid w:val="00706CD0"/>
    <w:rsid w:val="00706F2F"/>
    <w:rsid w:val="0071057F"/>
    <w:rsid w:val="00710DFA"/>
    <w:rsid w:val="00713807"/>
    <w:rsid w:val="00720054"/>
    <w:rsid w:val="00722C58"/>
    <w:rsid w:val="00723DA3"/>
    <w:rsid w:val="007250D6"/>
    <w:rsid w:val="00725336"/>
    <w:rsid w:val="00730257"/>
    <w:rsid w:val="00730B8D"/>
    <w:rsid w:val="007328BD"/>
    <w:rsid w:val="0073310B"/>
    <w:rsid w:val="007349DD"/>
    <w:rsid w:val="00735131"/>
    <w:rsid w:val="00737AC2"/>
    <w:rsid w:val="0074039C"/>
    <w:rsid w:val="00743FA9"/>
    <w:rsid w:val="00744FCA"/>
    <w:rsid w:val="00745400"/>
    <w:rsid w:val="00746004"/>
    <w:rsid w:val="007467C8"/>
    <w:rsid w:val="0075177E"/>
    <w:rsid w:val="00756DA3"/>
    <w:rsid w:val="007571C6"/>
    <w:rsid w:val="00757575"/>
    <w:rsid w:val="00757665"/>
    <w:rsid w:val="00757C13"/>
    <w:rsid w:val="00757FF0"/>
    <w:rsid w:val="00760676"/>
    <w:rsid w:val="007633AB"/>
    <w:rsid w:val="0076433B"/>
    <w:rsid w:val="007666B4"/>
    <w:rsid w:val="00767433"/>
    <w:rsid w:val="00776357"/>
    <w:rsid w:val="007822F0"/>
    <w:rsid w:val="00787E5E"/>
    <w:rsid w:val="007927D6"/>
    <w:rsid w:val="00795758"/>
    <w:rsid w:val="00795AC5"/>
    <w:rsid w:val="007A0089"/>
    <w:rsid w:val="007A046D"/>
    <w:rsid w:val="007A1119"/>
    <w:rsid w:val="007A6BCE"/>
    <w:rsid w:val="007B0BF5"/>
    <w:rsid w:val="007B383B"/>
    <w:rsid w:val="007B5FBB"/>
    <w:rsid w:val="007C429C"/>
    <w:rsid w:val="007C45A4"/>
    <w:rsid w:val="007C4A81"/>
    <w:rsid w:val="007C630F"/>
    <w:rsid w:val="007C7338"/>
    <w:rsid w:val="007D2BD0"/>
    <w:rsid w:val="007D35A7"/>
    <w:rsid w:val="007D60D0"/>
    <w:rsid w:val="007E7334"/>
    <w:rsid w:val="007F0DD5"/>
    <w:rsid w:val="007F15E5"/>
    <w:rsid w:val="007F2A31"/>
    <w:rsid w:val="007F4F21"/>
    <w:rsid w:val="007F6786"/>
    <w:rsid w:val="00802170"/>
    <w:rsid w:val="00802816"/>
    <w:rsid w:val="00805752"/>
    <w:rsid w:val="0080633F"/>
    <w:rsid w:val="008075BD"/>
    <w:rsid w:val="00811D65"/>
    <w:rsid w:val="008148A6"/>
    <w:rsid w:val="00816B6F"/>
    <w:rsid w:val="008213B4"/>
    <w:rsid w:val="008220D5"/>
    <w:rsid w:val="00825636"/>
    <w:rsid w:val="00825E26"/>
    <w:rsid w:val="00826495"/>
    <w:rsid w:val="00833CC7"/>
    <w:rsid w:val="00842919"/>
    <w:rsid w:val="00846AF0"/>
    <w:rsid w:val="008506AB"/>
    <w:rsid w:val="00857429"/>
    <w:rsid w:val="0085772B"/>
    <w:rsid w:val="008578C7"/>
    <w:rsid w:val="00857B93"/>
    <w:rsid w:val="00857F28"/>
    <w:rsid w:val="00861959"/>
    <w:rsid w:val="00862491"/>
    <w:rsid w:val="00863857"/>
    <w:rsid w:val="00864965"/>
    <w:rsid w:val="00864B37"/>
    <w:rsid w:val="008677FB"/>
    <w:rsid w:val="00870535"/>
    <w:rsid w:val="008726D6"/>
    <w:rsid w:val="00872859"/>
    <w:rsid w:val="00872A0F"/>
    <w:rsid w:val="00876AD2"/>
    <w:rsid w:val="00877680"/>
    <w:rsid w:val="008778C2"/>
    <w:rsid w:val="00880BAF"/>
    <w:rsid w:val="008839A5"/>
    <w:rsid w:val="00887F99"/>
    <w:rsid w:val="00893BFB"/>
    <w:rsid w:val="00896940"/>
    <w:rsid w:val="00897EE9"/>
    <w:rsid w:val="008A2E80"/>
    <w:rsid w:val="008A3CF6"/>
    <w:rsid w:val="008A49EA"/>
    <w:rsid w:val="008A4B45"/>
    <w:rsid w:val="008A4FF9"/>
    <w:rsid w:val="008B13DD"/>
    <w:rsid w:val="008B2087"/>
    <w:rsid w:val="008B3A7A"/>
    <w:rsid w:val="008B4DEE"/>
    <w:rsid w:val="008B695D"/>
    <w:rsid w:val="008C3396"/>
    <w:rsid w:val="008C3F6F"/>
    <w:rsid w:val="008C709F"/>
    <w:rsid w:val="008D1FCF"/>
    <w:rsid w:val="008D312F"/>
    <w:rsid w:val="008D4212"/>
    <w:rsid w:val="008D5B74"/>
    <w:rsid w:val="008D6BDC"/>
    <w:rsid w:val="008E2DB2"/>
    <w:rsid w:val="008E3C3E"/>
    <w:rsid w:val="008E65C0"/>
    <w:rsid w:val="008E661F"/>
    <w:rsid w:val="008E7EA9"/>
    <w:rsid w:val="008F50AE"/>
    <w:rsid w:val="008F74AC"/>
    <w:rsid w:val="009014EF"/>
    <w:rsid w:val="00901524"/>
    <w:rsid w:val="00903470"/>
    <w:rsid w:val="00903CB5"/>
    <w:rsid w:val="00906A35"/>
    <w:rsid w:val="00907764"/>
    <w:rsid w:val="00913C88"/>
    <w:rsid w:val="009145A1"/>
    <w:rsid w:val="00916A57"/>
    <w:rsid w:val="00917A28"/>
    <w:rsid w:val="00922F39"/>
    <w:rsid w:val="009238DE"/>
    <w:rsid w:val="00926CC4"/>
    <w:rsid w:val="00927AF3"/>
    <w:rsid w:val="00930D23"/>
    <w:rsid w:val="009327B5"/>
    <w:rsid w:val="00934860"/>
    <w:rsid w:val="009350E0"/>
    <w:rsid w:val="009365C4"/>
    <w:rsid w:val="0094161F"/>
    <w:rsid w:val="009434C7"/>
    <w:rsid w:val="009469D9"/>
    <w:rsid w:val="00947725"/>
    <w:rsid w:val="0095067C"/>
    <w:rsid w:val="00951F58"/>
    <w:rsid w:val="00953118"/>
    <w:rsid w:val="00953F9D"/>
    <w:rsid w:val="009600E8"/>
    <w:rsid w:val="00960371"/>
    <w:rsid w:val="00960E4B"/>
    <w:rsid w:val="00965E50"/>
    <w:rsid w:val="00971540"/>
    <w:rsid w:val="00973460"/>
    <w:rsid w:val="0097351E"/>
    <w:rsid w:val="00973FED"/>
    <w:rsid w:val="009747E0"/>
    <w:rsid w:val="00974833"/>
    <w:rsid w:val="00975F9B"/>
    <w:rsid w:val="00985A4D"/>
    <w:rsid w:val="00986431"/>
    <w:rsid w:val="00992D13"/>
    <w:rsid w:val="00993060"/>
    <w:rsid w:val="00993146"/>
    <w:rsid w:val="00993588"/>
    <w:rsid w:val="00997589"/>
    <w:rsid w:val="009A0797"/>
    <w:rsid w:val="009A1BCB"/>
    <w:rsid w:val="009A2D3A"/>
    <w:rsid w:val="009A5885"/>
    <w:rsid w:val="009B2EE8"/>
    <w:rsid w:val="009B4424"/>
    <w:rsid w:val="009C0C8E"/>
    <w:rsid w:val="009C1D8B"/>
    <w:rsid w:val="009C58EC"/>
    <w:rsid w:val="009C6654"/>
    <w:rsid w:val="009C75B7"/>
    <w:rsid w:val="009D2248"/>
    <w:rsid w:val="009D4A8E"/>
    <w:rsid w:val="009D5983"/>
    <w:rsid w:val="009E0594"/>
    <w:rsid w:val="009E4ABB"/>
    <w:rsid w:val="009F10BF"/>
    <w:rsid w:val="009F1C97"/>
    <w:rsid w:val="009F2108"/>
    <w:rsid w:val="00A00E6F"/>
    <w:rsid w:val="00A035F3"/>
    <w:rsid w:val="00A07F14"/>
    <w:rsid w:val="00A10B02"/>
    <w:rsid w:val="00A1226A"/>
    <w:rsid w:val="00A1392B"/>
    <w:rsid w:val="00A14DB9"/>
    <w:rsid w:val="00A15B3B"/>
    <w:rsid w:val="00A17370"/>
    <w:rsid w:val="00A200C6"/>
    <w:rsid w:val="00A2345D"/>
    <w:rsid w:val="00A234FB"/>
    <w:rsid w:val="00A253F8"/>
    <w:rsid w:val="00A256D1"/>
    <w:rsid w:val="00A2763E"/>
    <w:rsid w:val="00A2795E"/>
    <w:rsid w:val="00A27AEF"/>
    <w:rsid w:val="00A323F4"/>
    <w:rsid w:val="00A32987"/>
    <w:rsid w:val="00A42BB2"/>
    <w:rsid w:val="00A42C00"/>
    <w:rsid w:val="00A4487A"/>
    <w:rsid w:val="00A45F5A"/>
    <w:rsid w:val="00A465C9"/>
    <w:rsid w:val="00A46D0A"/>
    <w:rsid w:val="00A474C2"/>
    <w:rsid w:val="00A55653"/>
    <w:rsid w:val="00A635C2"/>
    <w:rsid w:val="00A6622F"/>
    <w:rsid w:val="00A66775"/>
    <w:rsid w:val="00A67ACA"/>
    <w:rsid w:val="00A71AED"/>
    <w:rsid w:val="00A7350E"/>
    <w:rsid w:val="00A75EBA"/>
    <w:rsid w:val="00A839C7"/>
    <w:rsid w:val="00A84911"/>
    <w:rsid w:val="00A84B9A"/>
    <w:rsid w:val="00A90458"/>
    <w:rsid w:val="00A90A0A"/>
    <w:rsid w:val="00A9136D"/>
    <w:rsid w:val="00A924F6"/>
    <w:rsid w:val="00A97688"/>
    <w:rsid w:val="00AA0748"/>
    <w:rsid w:val="00AA2628"/>
    <w:rsid w:val="00AA2944"/>
    <w:rsid w:val="00AA363C"/>
    <w:rsid w:val="00AA47D1"/>
    <w:rsid w:val="00AA4A09"/>
    <w:rsid w:val="00AB0CF3"/>
    <w:rsid w:val="00AB16D5"/>
    <w:rsid w:val="00AB3D25"/>
    <w:rsid w:val="00AB7BA5"/>
    <w:rsid w:val="00AC50F3"/>
    <w:rsid w:val="00AC58D1"/>
    <w:rsid w:val="00AE24AC"/>
    <w:rsid w:val="00AE29E9"/>
    <w:rsid w:val="00AE4438"/>
    <w:rsid w:val="00AE6B15"/>
    <w:rsid w:val="00B02C8F"/>
    <w:rsid w:val="00B058AC"/>
    <w:rsid w:val="00B07A7B"/>
    <w:rsid w:val="00B11244"/>
    <w:rsid w:val="00B13680"/>
    <w:rsid w:val="00B1773B"/>
    <w:rsid w:val="00B21A00"/>
    <w:rsid w:val="00B23983"/>
    <w:rsid w:val="00B24BA8"/>
    <w:rsid w:val="00B24F66"/>
    <w:rsid w:val="00B26902"/>
    <w:rsid w:val="00B273B2"/>
    <w:rsid w:val="00B3136C"/>
    <w:rsid w:val="00B31973"/>
    <w:rsid w:val="00B32A0D"/>
    <w:rsid w:val="00B32A34"/>
    <w:rsid w:val="00B32E1D"/>
    <w:rsid w:val="00B34E60"/>
    <w:rsid w:val="00B3723F"/>
    <w:rsid w:val="00B4183E"/>
    <w:rsid w:val="00B425A3"/>
    <w:rsid w:val="00B42DA2"/>
    <w:rsid w:val="00B4731D"/>
    <w:rsid w:val="00B50497"/>
    <w:rsid w:val="00B52107"/>
    <w:rsid w:val="00B52CF2"/>
    <w:rsid w:val="00B606FE"/>
    <w:rsid w:val="00B6142C"/>
    <w:rsid w:val="00B62452"/>
    <w:rsid w:val="00B67CD0"/>
    <w:rsid w:val="00B67D29"/>
    <w:rsid w:val="00B701E2"/>
    <w:rsid w:val="00B70BDB"/>
    <w:rsid w:val="00B71604"/>
    <w:rsid w:val="00B718AC"/>
    <w:rsid w:val="00B72A96"/>
    <w:rsid w:val="00B72AB8"/>
    <w:rsid w:val="00B77A90"/>
    <w:rsid w:val="00B801EB"/>
    <w:rsid w:val="00B808F2"/>
    <w:rsid w:val="00B84989"/>
    <w:rsid w:val="00B84B00"/>
    <w:rsid w:val="00B85769"/>
    <w:rsid w:val="00B85A8A"/>
    <w:rsid w:val="00B86D74"/>
    <w:rsid w:val="00B9023B"/>
    <w:rsid w:val="00B919E6"/>
    <w:rsid w:val="00B977DE"/>
    <w:rsid w:val="00BA339A"/>
    <w:rsid w:val="00BA353E"/>
    <w:rsid w:val="00BB2DB4"/>
    <w:rsid w:val="00BB389C"/>
    <w:rsid w:val="00BB60FF"/>
    <w:rsid w:val="00BC122C"/>
    <w:rsid w:val="00BC1302"/>
    <w:rsid w:val="00BC384C"/>
    <w:rsid w:val="00BC5B17"/>
    <w:rsid w:val="00BC742C"/>
    <w:rsid w:val="00BD4EA6"/>
    <w:rsid w:val="00BD5861"/>
    <w:rsid w:val="00BD64AD"/>
    <w:rsid w:val="00BE05BC"/>
    <w:rsid w:val="00BF4CD2"/>
    <w:rsid w:val="00BF59F1"/>
    <w:rsid w:val="00BF7714"/>
    <w:rsid w:val="00C00500"/>
    <w:rsid w:val="00C00C7F"/>
    <w:rsid w:val="00C02FA9"/>
    <w:rsid w:val="00C033F2"/>
    <w:rsid w:val="00C05099"/>
    <w:rsid w:val="00C07A45"/>
    <w:rsid w:val="00C07F30"/>
    <w:rsid w:val="00C11394"/>
    <w:rsid w:val="00C11FB4"/>
    <w:rsid w:val="00C13638"/>
    <w:rsid w:val="00C16B34"/>
    <w:rsid w:val="00C20A7C"/>
    <w:rsid w:val="00C263F5"/>
    <w:rsid w:val="00C27AC2"/>
    <w:rsid w:val="00C3365B"/>
    <w:rsid w:val="00C33CB4"/>
    <w:rsid w:val="00C35A93"/>
    <w:rsid w:val="00C36071"/>
    <w:rsid w:val="00C408F7"/>
    <w:rsid w:val="00C4453B"/>
    <w:rsid w:val="00C45B0B"/>
    <w:rsid w:val="00C4705D"/>
    <w:rsid w:val="00C476C8"/>
    <w:rsid w:val="00C50C92"/>
    <w:rsid w:val="00C512BF"/>
    <w:rsid w:val="00C5319C"/>
    <w:rsid w:val="00C55E7A"/>
    <w:rsid w:val="00C57B8D"/>
    <w:rsid w:val="00C57C3A"/>
    <w:rsid w:val="00C64625"/>
    <w:rsid w:val="00C6566F"/>
    <w:rsid w:val="00C72506"/>
    <w:rsid w:val="00C74197"/>
    <w:rsid w:val="00C74E59"/>
    <w:rsid w:val="00C76528"/>
    <w:rsid w:val="00C77180"/>
    <w:rsid w:val="00C808B9"/>
    <w:rsid w:val="00C80FE7"/>
    <w:rsid w:val="00C87A02"/>
    <w:rsid w:val="00C909C7"/>
    <w:rsid w:val="00C9361F"/>
    <w:rsid w:val="00C97254"/>
    <w:rsid w:val="00C97629"/>
    <w:rsid w:val="00C97A70"/>
    <w:rsid w:val="00CA45A3"/>
    <w:rsid w:val="00CA4A36"/>
    <w:rsid w:val="00CB11B9"/>
    <w:rsid w:val="00CB13F6"/>
    <w:rsid w:val="00CB2C4C"/>
    <w:rsid w:val="00CB5C72"/>
    <w:rsid w:val="00CB6523"/>
    <w:rsid w:val="00CB6EC7"/>
    <w:rsid w:val="00CC120A"/>
    <w:rsid w:val="00CC2995"/>
    <w:rsid w:val="00CC37FF"/>
    <w:rsid w:val="00CC4FBD"/>
    <w:rsid w:val="00CC5806"/>
    <w:rsid w:val="00CD2D14"/>
    <w:rsid w:val="00CD3B6E"/>
    <w:rsid w:val="00CE0F52"/>
    <w:rsid w:val="00CE2B9E"/>
    <w:rsid w:val="00CE3491"/>
    <w:rsid w:val="00CE41C9"/>
    <w:rsid w:val="00CE5A0E"/>
    <w:rsid w:val="00CF11FC"/>
    <w:rsid w:val="00CF22B7"/>
    <w:rsid w:val="00CF2A22"/>
    <w:rsid w:val="00CF4471"/>
    <w:rsid w:val="00CF6491"/>
    <w:rsid w:val="00CF69FB"/>
    <w:rsid w:val="00D01ACE"/>
    <w:rsid w:val="00D0442C"/>
    <w:rsid w:val="00D04F48"/>
    <w:rsid w:val="00D05377"/>
    <w:rsid w:val="00D06843"/>
    <w:rsid w:val="00D07459"/>
    <w:rsid w:val="00D11FEE"/>
    <w:rsid w:val="00D166A2"/>
    <w:rsid w:val="00D17044"/>
    <w:rsid w:val="00D1790D"/>
    <w:rsid w:val="00D232B8"/>
    <w:rsid w:val="00D24161"/>
    <w:rsid w:val="00D24B6D"/>
    <w:rsid w:val="00D25046"/>
    <w:rsid w:val="00D25FC8"/>
    <w:rsid w:val="00D26DDE"/>
    <w:rsid w:val="00D26F54"/>
    <w:rsid w:val="00D275F7"/>
    <w:rsid w:val="00D30AAE"/>
    <w:rsid w:val="00D32851"/>
    <w:rsid w:val="00D32B1C"/>
    <w:rsid w:val="00D4028D"/>
    <w:rsid w:val="00D41834"/>
    <w:rsid w:val="00D429E4"/>
    <w:rsid w:val="00D43850"/>
    <w:rsid w:val="00D43DED"/>
    <w:rsid w:val="00D447F1"/>
    <w:rsid w:val="00D51449"/>
    <w:rsid w:val="00D52510"/>
    <w:rsid w:val="00D54C01"/>
    <w:rsid w:val="00D5615C"/>
    <w:rsid w:val="00D6522A"/>
    <w:rsid w:val="00D80A8B"/>
    <w:rsid w:val="00D826AA"/>
    <w:rsid w:val="00D8495B"/>
    <w:rsid w:val="00D85439"/>
    <w:rsid w:val="00D87EF5"/>
    <w:rsid w:val="00D94358"/>
    <w:rsid w:val="00D96F63"/>
    <w:rsid w:val="00D977E4"/>
    <w:rsid w:val="00DA013E"/>
    <w:rsid w:val="00DA398D"/>
    <w:rsid w:val="00DA5819"/>
    <w:rsid w:val="00DA58E4"/>
    <w:rsid w:val="00DB0253"/>
    <w:rsid w:val="00DB0593"/>
    <w:rsid w:val="00DB0E52"/>
    <w:rsid w:val="00DB15BA"/>
    <w:rsid w:val="00DB43D1"/>
    <w:rsid w:val="00DB484D"/>
    <w:rsid w:val="00DB6351"/>
    <w:rsid w:val="00DC0B72"/>
    <w:rsid w:val="00DC372D"/>
    <w:rsid w:val="00DC479D"/>
    <w:rsid w:val="00DC5288"/>
    <w:rsid w:val="00DC5F99"/>
    <w:rsid w:val="00DD2D9D"/>
    <w:rsid w:val="00DD3EF9"/>
    <w:rsid w:val="00DD3F98"/>
    <w:rsid w:val="00DD7673"/>
    <w:rsid w:val="00DD7CD5"/>
    <w:rsid w:val="00DE0763"/>
    <w:rsid w:val="00DE21AE"/>
    <w:rsid w:val="00DE6472"/>
    <w:rsid w:val="00DF1662"/>
    <w:rsid w:val="00DF2C64"/>
    <w:rsid w:val="00DF4B65"/>
    <w:rsid w:val="00DF4FD5"/>
    <w:rsid w:val="00DF69A3"/>
    <w:rsid w:val="00DF69E0"/>
    <w:rsid w:val="00DF7BD2"/>
    <w:rsid w:val="00E000A3"/>
    <w:rsid w:val="00E069E9"/>
    <w:rsid w:val="00E10E08"/>
    <w:rsid w:val="00E11EF6"/>
    <w:rsid w:val="00E1349B"/>
    <w:rsid w:val="00E15312"/>
    <w:rsid w:val="00E17A27"/>
    <w:rsid w:val="00E21480"/>
    <w:rsid w:val="00E2170B"/>
    <w:rsid w:val="00E217C8"/>
    <w:rsid w:val="00E27DB1"/>
    <w:rsid w:val="00E27E9B"/>
    <w:rsid w:val="00E311AE"/>
    <w:rsid w:val="00E314B2"/>
    <w:rsid w:val="00E35E54"/>
    <w:rsid w:val="00E36723"/>
    <w:rsid w:val="00E36867"/>
    <w:rsid w:val="00E36905"/>
    <w:rsid w:val="00E37ACD"/>
    <w:rsid w:val="00E438A1"/>
    <w:rsid w:val="00E51076"/>
    <w:rsid w:val="00E5254F"/>
    <w:rsid w:val="00E532DC"/>
    <w:rsid w:val="00E55AC7"/>
    <w:rsid w:val="00E563C6"/>
    <w:rsid w:val="00E56E24"/>
    <w:rsid w:val="00E65428"/>
    <w:rsid w:val="00E66569"/>
    <w:rsid w:val="00E66DE3"/>
    <w:rsid w:val="00E70CC2"/>
    <w:rsid w:val="00E7122A"/>
    <w:rsid w:val="00E72FA4"/>
    <w:rsid w:val="00E73850"/>
    <w:rsid w:val="00E738A1"/>
    <w:rsid w:val="00E83A3C"/>
    <w:rsid w:val="00E86B3B"/>
    <w:rsid w:val="00E86DBD"/>
    <w:rsid w:val="00E8746A"/>
    <w:rsid w:val="00E925A6"/>
    <w:rsid w:val="00E948AF"/>
    <w:rsid w:val="00E9697C"/>
    <w:rsid w:val="00EA4047"/>
    <w:rsid w:val="00EA458D"/>
    <w:rsid w:val="00EA48E9"/>
    <w:rsid w:val="00EA56BB"/>
    <w:rsid w:val="00EA59A6"/>
    <w:rsid w:val="00EA7E94"/>
    <w:rsid w:val="00EB0788"/>
    <w:rsid w:val="00EB22D3"/>
    <w:rsid w:val="00EB314D"/>
    <w:rsid w:val="00EB395A"/>
    <w:rsid w:val="00EB3C6B"/>
    <w:rsid w:val="00EC13B7"/>
    <w:rsid w:val="00EC21DF"/>
    <w:rsid w:val="00EC2957"/>
    <w:rsid w:val="00EC2E65"/>
    <w:rsid w:val="00ED0373"/>
    <w:rsid w:val="00ED1DED"/>
    <w:rsid w:val="00ED2E5A"/>
    <w:rsid w:val="00ED31E1"/>
    <w:rsid w:val="00ED5853"/>
    <w:rsid w:val="00ED648B"/>
    <w:rsid w:val="00ED7858"/>
    <w:rsid w:val="00EE1622"/>
    <w:rsid w:val="00EE4A94"/>
    <w:rsid w:val="00EE6889"/>
    <w:rsid w:val="00EF2555"/>
    <w:rsid w:val="00EF28C5"/>
    <w:rsid w:val="00EF7D6B"/>
    <w:rsid w:val="00F023CD"/>
    <w:rsid w:val="00F03CFB"/>
    <w:rsid w:val="00F03F6B"/>
    <w:rsid w:val="00F05F39"/>
    <w:rsid w:val="00F06418"/>
    <w:rsid w:val="00F104B3"/>
    <w:rsid w:val="00F10D8F"/>
    <w:rsid w:val="00F14023"/>
    <w:rsid w:val="00F14A53"/>
    <w:rsid w:val="00F14D9A"/>
    <w:rsid w:val="00F16167"/>
    <w:rsid w:val="00F20F34"/>
    <w:rsid w:val="00F21544"/>
    <w:rsid w:val="00F239D3"/>
    <w:rsid w:val="00F308D9"/>
    <w:rsid w:val="00F3179E"/>
    <w:rsid w:val="00F318E1"/>
    <w:rsid w:val="00F349EA"/>
    <w:rsid w:val="00F379C2"/>
    <w:rsid w:val="00F40647"/>
    <w:rsid w:val="00F4141F"/>
    <w:rsid w:val="00F45099"/>
    <w:rsid w:val="00F5003D"/>
    <w:rsid w:val="00F57997"/>
    <w:rsid w:val="00F609E5"/>
    <w:rsid w:val="00F60C9B"/>
    <w:rsid w:val="00F61280"/>
    <w:rsid w:val="00F61FBA"/>
    <w:rsid w:val="00F61FCF"/>
    <w:rsid w:val="00F65E59"/>
    <w:rsid w:val="00F665B9"/>
    <w:rsid w:val="00F7051F"/>
    <w:rsid w:val="00F71D64"/>
    <w:rsid w:val="00F72FFA"/>
    <w:rsid w:val="00F730AF"/>
    <w:rsid w:val="00F74313"/>
    <w:rsid w:val="00F75FB6"/>
    <w:rsid w:val="00F777E7"/>
    <w:rsid w:val="00F77B77"/>
    <w:rsid w:val="00F82D1C"/>
    <w:rsid w:val="00F8482B"/>
    <w:rsid w:val="00F84FAB"/>
    <w:rsid w:val="00F86E93"/>
    <w:rsid w:val="00F87850"/>
    <w:rsid w:val="00F92396"/>
    <w:rsid w:val="00F939EB"/>
    <w:rsid w:val="00F953F5"/>
    <w:rsid w:val="00F95DEC"/>
    <w:rsid w:val="00FA03FE"/>
    <w:rsid w:val="00FA2E08"/>
    <w:rsid w:val="00FA59E7"/>
    <w:rsid w:val="00FA6491"/>
    <w:rsid w:val="00FB03F3"/>
    <w:rsid w:val="00FB1E2C"/>
    <w:rsid w:val="00FB6B05"/>
    <w:rsid w:val="00FC04BF"/>
    <w:rsid w:val="00FC1195"/>
    <w:rsid w:val="00FC39B2"/>
    <w:rsid w:val="00FD04DF"/>
    <w:rsid w:val="00FD1825"/>
    <w:rsid w:val="00FD6C3B"/>
    <w:rsid w:val="00FD6E37"/>
    <w:rsid w:val="00FE0FDB"/>
    <w:rsid w:val="00FE3461"/>
    <w:rsid w:val="00FE589C"/>
    <w:rsid w:val="00FE68CF"/>
    <w:rsid w:val="00FE6AE5"/>
    <w:rsid w:val="00FE714F"/>
    <w:rsid w:val="00FE79B5"/>
    <w:rsid w:val="00FF2281"/>
    <w:rsid w:val="00FF6551"/>
    <w:rsid w:val="08281DF7"/>
    <w:rsid w:val="095976FC"/>
    <w:rsid w:val="10715615"/>
    <w:rsid w:val="12614665"/>
    <w:rsid w:val="151471EB"/>
    <w:rsid w:val="173B0C2C"/>
    <w:rsid w:val="1AD15094"/>
    <w:rsid w:val="1B1D7445"/>
    <w:rsid w:val="1BA32CE0"/>
    <w:rsid w:val="1C5E7685"/>
    <w:rsid w:val="1D926428"/>
    <w:rsid w:val="1DA4783E"/>
    <w:rsid w:val="214C701E"/>
    <w:rsid w:val="217E53C6"/>
    <w:rsid w:val="231F5524"/>
    <w:rsid w:val="26B7555F"/>
    <w:rsid w:val="279F03CC"/>
    <w:rsid w:val="2801444C"/>
    <w:rsid w:val="29076CCD"/>
    <w:rsid w:val="29536F75"/>
    <w:rsid w:val="29585D1F"/>
    <w:rsid w:val="2A307D30"/>
    <w:rsid w:val="2C075E17"/>
    <w:rsid w:val="2C2C48C6"/>
    <w:rsid w:val="2D4824F7"/>
    <w:rsid w:val="39E75BFE"/>
    <w:rsid w:val="3CFD5C89"/>
    <w:rsid w:val="41407649"/>
    <w:rsid w:val="44F06F02"/>
    <w:rsid w:val="453C5652"/>
    <w:rsid w:val="457E6597"/>
    <w:rsid w:val="46377D3D"/>
    <w:rsid w:val="46DF4F51"/>
    <w:rsid w:val="47C0664B"/>
    <w:rsid w:val="4B9E5216"/>
    <w:rsid w:val="4C716982"/>
    <w:rsid w:val="4E657606"/>
    <w:rsid w:val="50E003BF"/>
    <w:rsid w:val="515C0D6A"/>
    <w:rsid w:val="538B6BA1"/>
    <w:rsid w:val="54094589"/>
    <w:rsid w:val="540E4CD9"/>
    <w:rsid w:val="545C3574"/>
    <w:rsid w:val="562E5D86"/>
    <w:rsid w:val="58336E0A"/>
    <w:rsid w:val="5E136906"/>
    <w:rsid w:val="60C72DB7"/>
    <w:rsid w:val="620E4A85"/>
    <w:rsid w:val="635412FE"/>
    <w:rsid w:val="685444E6"/>
    <w:rsid w:val="69A52D7E"/>
    <w:rsid w:val="69C46A0F"/>
    <w:rsid w:val="6AA3626C"/>
    <w:rsid w:val="6B153C2A"/>
    <w:rsid w:val="6BAA6101"/>
    <w:rsid w:val="713C49B0"/>
    <w:rsid w:val="74A663F4"/>
    <w:rsid w:val="7838339C"/>
    <w:rsid w:val="79EA350D"/>
    <w:rsid w:val="7A0D4A36"/>
    <w:rsid w:val="7C5D27E7"/>
    <w:rsid w:val="7F55775C"/>
    <w:rsid w:val="7F5D048B"/>
    <w:rsid w:val="7F73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9"/>
    <w:qFormat/>
    <w:uiPriority w:val="0"/>
    <w:rPr>
      <w:rFonts w:ascii="宋体" w:hAnsi="Courier New"/>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日期 Char"/>
    <w:basedOn w:val="8"/>
    <w:link w:val="3"/>
    <w:semiHidden/>
    <w:qFormat/>
    <w:uiPriority w:val="99"/>
  </w:style>
  <w:style w:type="paragraph" w:customStyle="1" w:styleId="15">
    <w:name w:val="Body Text Indent 2_bb4d1f65-70a2-4f69-8af3-194d898dc300"/>
    <w:basedOn w:val="1"/>
    <w:qFormat/>
    <w:uiPriority w:val="0"/>
    <w:pPr>
      <w:spacing w:after="120" w:line="480" w:lineRule="auto"/>
      <w:ind w:left="200" w:leftChars="200"/>
    </w:pPr>
    <w:rPr>
      <w:rFonts w:ascii="Times New Roman" w:hAnsi="Times New Roman" w:eastAsia="宋体" w:cs="Times New Roman"/>
      <w:szCs w:val="24"/>
    </w:rPr>
  </w:style>
  <w:style w:type="character" w:customStyle="1" w:styleId="16">
    <w:name w:val="批注框文本 Char"/>
    <w:basedOn w:val="8"/>
    <w:link w:val="4"/>
    <w:semiHidden/>
    <w:qFormat/>
    <w:uiPriority w:val="99"/>
    <w:rPr>
      <w:sz w:val="18"/>
      <w:szCs w:val="18"/>
    </w:rPr>
  </w:style>
  <w:style w:type="paragraph" w:customStyle="1" w:styleId="17">
    <w:name w:val="Char"/>
    <w:qFormat/>
    <w:uiPriority w:val="0"/>
    <w:pPr>
      <w:widowControl w:val="0"/>
      <w:adjustRightInd w:val="0"/>
      <w:spacing w:line="360" w:lineRule="auto"/>
      <w:jc w:val="both"/>
    </w:pPr>
    <w:rPr>
      <w:rFonts w:ascii="Times New Roman" w:hAnsi="Times New Roman" w:eastAsia="宋体" w:cs="Times New Roman"/>
      <w:sz w:val="24"/>
      <w:lang w:val="en-US" w:eastAsia="zh-CN" w:bidi="ar-SA"/>
    </w:rPr>
  </w:style>
  <w:style w:type="paragraph" w:customStyle="1" w:styleId="18">
    <w:name w:val="列出段落1"/>
    <w:basedOn w:val="1"/>
    <w:qFormat/>
    <w:uiPriority w:val="34"/>
    <w:pPr>
      <w:ind w:firstLine="420" w:firstLineChars="200"/>
    </w:pPr>
  </w:style>
  <w:style w:type="character" w:customStyle="1" w:styleId="19">
    <w:name w:val="纯文本 Char"/>
    <w:basedOn w:val="8"/>
    <w:link w:val="2"/>
    <w:qFormat/>
    <w:uiPriority w:val="0"/>
    <w:rPr>
      <w:rFonts w:ascii="宋体" w:hAnsi="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7C3A0-643F-40E7-9972-48871DEA2D0A}">
  <ds:schemaRefs/>
</ds:datastoreItem>
</file>

<file path=docProps/app.xml><?xml version="1.0" encoding="utf-8"?>
<Properties xmlns="http://schemas.openxmlformats.org/officeDocument/2006/extended-properties" xmlns:vt="http://schemas.openxmlformats.org/officeDocument/2006/docPropsVTypes">
  <Template>Normal</Template>
  <Pages>10</Pages>
  <Words>2379</Words>
  <Characters>13564</Characters>
  <Lines>113</Lines>
  <Paragraphs>31</Paragraphs>
  <TotalTime>6</TotalTime>
  <ScaleCrop>false</ScaleCrop>
  <LinksUpToDate>false</LinksUpToDate>
  <CharactersWithSpaces>15912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2021-08-25T03:17:00Z</dcterms:created>
  <dc:creator>xxld</dc:creator>
  <cp:lastModifiedBy>巴别塔</cp:lastModifiedBy>
  <cp:lastPrinted>2021-01-27T06:38:00Z</cp:lastPrinted>
  <dcterms:modified xsi:type="dcterms:W3CDTF">2021-09-06T06:16:02Z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