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城交口2020年市政府重点工作进展表</w:t>
      </w:r>
    </w:p>
    <w:p>
      <w:pPr>
        <w:spacing w:line="510" w:lineRule="exact"/>
        <w:ind w:firstLine="240" w:firstLineChars="100"/>
        <w:rPr>
          <w:rFonts w:ascii="Times New Roman" w:hAnsi="Times New Roman" w:eastAsia="仿宋_GB2312" w:cs="Times New Roman"/>
          <w:bCs/>
          <w:sz w:val="24"/>
          <w:szCs w:val="32"/>
        </w:rPr>
      </w:pPr>
      <w:r>
        <w:rPr>
          <w:rFonts w:ascii="Times New Roman" w:hAnsi="Times New Roman" w:eastAsia="仿宋_GB2312" w:cs="Times New Roman"/>
          <w:bCs/>
          <w:sz w:val="24"/>
          <w:szCs w:val="32"/>
        </w:rPr>
        <w:t>填报单位：市</w:t>
      </w:r>
      <w:r>
        <w:rPr>
          <w:rFonts w:hint="eastAsia" w:ascii="Times New Roman" w:hAnsi="Times New Roman" w:eastAsia="仿宋_GB2312" w:cs="Times New Roman"/>
          <w:bCs/>
          <w:sz w:val="24"/>
          <w:szCs w:val="32"/>
        </w:rPr>
        <w:t>交通运输</w:t>
      </w:r>
      <w:r>
        <w:rPr>
          <w:rFonts w:ascii="Times New Roman" w:hAnsi="Times New Roman" w:eastAsia="仿宋_GB2312" w:cs="Times New Roman"/>
          <w:bCs/>
          <w:sz w:val="24"/>
          <w:szCs w:val="32"/>
        </w:rPr>
        <w:t>局                                                           填报时间：2020年</w:t>
      </w:r>
      <w:r>
        <w:rPr>
          <w:rFonts w:hint="eastAsia" w:ascii="Times New Roman" w:hAnsi="Times New Roman" w:eastAsia="仿宋_GB2312" w:cs="Times New Roman"/>
          <w:bCs/>
          <w:sz w:val="24"/>
          <w:szCs w:val="32"/>
          <w:lang w:val="en-US" w:eastAsia="zh-CN"/>
        </w:rPr>
        <w:t>11</w:t>
      </w:r>
      <w:r>
        <w:rPr>
          <w:rFonts w:ascii="Times New Roman" w:hAnsi="Times New Roman" w:eastAsia="仿宋_GB2312" w:cs="Times New Roman"/>
          <w:bCs/>
          <w:sz w:val="24"/>
          <w:szCs w:val="32"/>
        </w:rPr>
        <w:t>月</w:t>
      </w:r>
      <w:r>
        <w:rPr>
          <w:rFonts w:hint="eastAsia" w:ascii="Times New Roman" w:hAnsi="Times New Roman" w:eastAsia="仿宋_GB2312" w:cs="Times New Roman"/>
          <w:bCs/>
          <w:sz w:val="24"/>
          <w:szCs w:val="32"/>
          <w:lang w:val="en-US" w:eastAsia="zh-CN"/>
        </w:rPr>
        <w:t>24</w:t>
      </w:r>
      <w:r>
        <w:rPr>
          <w:rFonts w:ascii="Times New Roman" w:hAnsi="Times New Roman" w:eastAsia="仿宋_GB2312" w:cs="Times New Roman"/>
          <w:bCs/>
          <w:sz w:val="24"/>
          <w:szCs w:val="32"/>
        </w:rPr>
        <w:t>日</w:t>
      </w:r>
    </w:p>
    <w:tbl>
      <w:tblPr>
        <w:tblStyle w:val="8"/>
        <w:tblW w:w="14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4493"/>
        <w:gridCol w:w="2063"/>
        <w:gridCol w:w="7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7"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4493"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内容与要求</w:t>
            </w:r>
          </w:p>
        </w:tc>
        <w:tc>
          <w:tcPr>
            <w:tcW w:w="2063"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责任人</w:t>
            </w:r>
          </w:p>
        </w:tc>
        <w:tc>
          <w:tcPr>
            <w:tcW w:w="7341"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w:t>
            </w:r>
            <w:r>
              <w:rPr>
                <w:rFonts w:hint="eastAsia"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月份进展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7"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4493"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color w:val="auto"/>
                <w:sz w:val="24"/>
                <w:szCs w:val="24"/>
              </w:rPr>
            </w:pPr>
          </w:p>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全市完成综合交通建设投资252亿元。加快杭绍台铁路、金甬铁路、杭绍甬智慧高速公路、杭绍台高速至杭金衢高速连接线、杭州中环绍兴柯桥段、527国道嵊新段、曹娥江上浦船闸及航道工程建设。开工建设104国道东湖至蒿坝段、329国道上虞段、柯诸高速公路。确保建成杭绍台高速公路，实现群贤路东延三期主线贯通、南部综合交通枢纽主体完工。建成杭绍城际铁路、杭州绕城高速西复线诸暨段、31省道北延接萧山机场段。深化235国道诸暨段、虞南高速、富诸嵊高速等项目前期。</w:t>
            </w:r>
          </w:p>
        </w:tc>
        <w:tc>
          <w:tcPr>
            <w:tcW w:w="2063"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分管领导：张敏、金星</w:t>
            </w:r>
          </w:p>
          <w:p>
            <w:pPr>
              <w:keepNext w:val="0"/>
              <w:keepLines w:val="0"/>
              <w:pageBreakBefore w:val="0"/>
              <w:widowControl/>
              <w:kinsoku/>
              <w:wordWrap/>
              <w:overflowPunct/>
              <w:topLinePunct w:val="0"/>
              <w:autoSpaceDE/>
              <w:autoSpaceDN/>
              <w:bidi w:val="0"/>
              <w:adjustRightInd/>
              <w:snapToGrid/>
              <w:spacing w:line="380" w:lineRule="exac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责任处室：规划处、建管处</w:t>
            </w:r>
          </w:p>
          <w:p>
            <w:pPr>
              <w:keepNext w:val="0"/>
              <w:keepLines w:val="0"/>
              <w:pageBreakBefore w:val="0"/>
              <w:widowControl/>
              <w:kinsoku/>
              <w:wordWrap/>
              <w:overflowPunct/>
              <w:topLinePunct w:val="0"/>
              <w:autoSpaceDE/>
              <w:autoSpaceDN/>
              <w:bidi w:val="0"/>
              <w:adjustRightInd/>
              <w:snapToGrid/>
              <w:spacing w:line="380" w:lineRule="exac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联系人：李金明、王晖</w:t>
            </w:r>
          </w:p>
        </w:tc>
        <w:tc>
          <w:tcPr>
            <w:tcW w:w="7341" w:type="dxa"/>
            <w:vAlign w:val="center"/>
          </w:tcPr>
          <w:p>
            <w:pPr>
              <w:spacing w:line="320" w:lineRule="exact"/>
              <w:ind w:firstLine="482" w:firstLineChars="200"/>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b/>
                <w:bCs/>
                <w:color w:val="auto"/>
                <w:sz w:val="24"/>
                <w:szCs w:val="24"/>
              </w:rPr>
              <w:t>综合交通建设投资</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color w:val="auto"/>
                <w:sz w:val="24"/>
                <w:szCs w:val="24"/>
                <w:lang w:eastAsia="zh-CN"/>
              </w:rPr>
              <w:t>全年综合交通建设</w:t>
            </w:r>
            <w:r>
              <w:rPr>
                <w:rFonts w:hint="default" w:ascii="Times New Roman" w:hAnsi="Times New Roman" w:eastAsia="仿宋_GB2312" w:cs="Times New Roman"/>
                <w:color w:val="auto"/>
                <w:sz w:val="24"/>
                <w:szCs w:val="24"/>
                <w:lang w:val="en-US" w:eastAsia="zh-CN"/>
              </w:rPr>
              <w:t>1</w:t>
            </w:r>
            <w:r>
              <w:rPr>
                <w:rFonts w:hint="eastAsia"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lang w:eastAsia="zh-CN"/>
              </w:rPr>
              <w:t>月份预计完成投资</w:t>
            </w:r>
            <w:r>
              <w:rPr>
                <w:rFonts w:hint="eastAsia" w:ascii="Times New Roman" w:hAnsi="Times New Roman" w:eastAsia="仿宋_GB2312" w:cs="Times New Roman"/>
                <w:color w:val="auto"/>
                <w:sz w:val="24"/>
                <w:szCs w:val="24"/>
                <w:lang w:val="en-US" w:eastAsia="zh-CN"/>
              </w:rPr>
              <w:t>15</w:t>
            </w:r>
            <w:r>
              <w:rPr>
                <w:rFonts w:hint="default" w:ascii="Times New Roman" w:hAnsi="Times New Roman" w:eastAsia="仿宋_GB2312" w:cs="Times New Roman"/>
                <w:color w:val="auto"/>
                <w:sz w:val="24"/>
                <w:szCs w:val="24"/>
                <w:lang w:eastAsia="zh-CN"/>
              </w:rPr>
              <w:t>亿元，累计完成投资</w:t>
            </w:r>
            <w:r>
              <w:rPr>
                <w:rFonts w:hint="eastAsia" w:ascii="Times New Roman" w:hAnsi="Times New Roman" w:eastAsia="仿宋_GB2312" w:cs="Times New Roman"/>
                <w:color w:val="auto"/>
                <w:sz w:val="24"/>
                <w:szCs w:val="24"/>
                <w:lang w:val="en-US" w:eastAsia="zh-CN"/>
              </w:rPr>
              <w:t>299.3</w:t>
            </w:r>
            <w:r>
              <w:rPr>
                <w:rFonts w:hint="default" w:ascii="Times New Roman" w:hAnsi="Times New Roman" w:eastAsia="仿宋_GB2312" w:cs="Times New Roman"/>
                <w:color w:val="auto"/>
                <w:sz w:val="24"/>
                <w:szCs w:val="24"/>
                <w:lang w:eastAsia="zh-CN"/>
              </w:rPr>
              <w:t>亿元，完成年度计划的1</w:t>
            </w:r>
            <w:r>
              <w:rPr>
                <w:rFonts w:hint="eastAsia"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lang w:val="en-US" w:eastAsia="zh-CN"/>
              </w:rPr>
              <w:t>8.8</w:t>
            </w:r>
            <w:r>
              <w:rPr>
                <w:rFonts w:hint="default" w:ascii="Times New Roman" w:hAnsi="Times New Roman" w:eastAsia="仿宋_GB2312" w:cs="Times New Roman"/>
                <w:color w:val="auto"/>
                <w:sz w:val="24"/>
                <w:szCs w:val="24"/>
                <w:lang w:eastAsia="zh-CN"/>
              </w:rPr>
              <w:t>%。</w:t>
            </w:r>
          </w:p>
          <w:p>
            <w:pPr>
              <w:spacing w:line="320" w:lineRule="exact"/>
              <w:ind w:firstLine="482" w:firstLineChars="20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rPr>
              <w:t>杭绍台铁路</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b w:val="0"/>
                <w:bCs w:val="0"/>
                <w:color w:val="auto"/>
                <w:sz w:val="24"/>
                <w:szCs w:val="24"/>
                <w:lang w:val="en-US" w:eastAsia="zh-CN"/>
              </w:rPr>
              <w:t>完成投资59.5亿元，完成年度计划的91.5%。</w:t>
            </w:r>
          </w:p>
          <w:p>
            <w:pPr>
              <w:spacing w:line="320" w:lineRule="exact"/>
              <w:ind w:firstLine="482" w:firstLineChars="200"/>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rPr>
              <w:t>金甬铁路</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b w:val="0"/>
                <w:bCs w:val="0"/>
                <w:color w:val="auto"/>
                <w:sz w:val="24"/>
                <w:szCs w:val="24"/>
                <w:lang w:val="en-US" w:eastAsia="zh-CN"/>
              </w:rPr>
              <w:t>完成投资21.5亿元，完成年度计划的90%。</w:t>
            </w:r>
          </w:p>
          <w:p>
            <w:pPr>
              <w:spacing w:line="320" w:lineRule="exact"/>
              <w:ind w:firstLine="482" w:firstLineChars="200"/>
              <w:rPr>
                <w:rFonts w:hint="eastAsia"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bCs/>
                <w:color w:val="auto"/>
                <w:sz w:val="24"/>
                <w:szCs w:val="24"/>
              </w:rPr>
              <w:t>杭绍甬智慧高速公路</w:t>
            </w:r>
            <w:r>
              <w:rPr>
                <w:rFonts w:hint="default"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val="0"/>
                <w:bCs w:val="0"/>
                <w:color w:val="auto"/>
                <w:sz w:val="24"/>
                <w:szCs w:val="24"/>
                <w:lang w:val="en-US" w:eastAsia="zh-CN"/>
              </w:rPr>
              <w:t>11月13日，杭州市和绍兴市相关部门、实施单位，与省交投等中标的社会资本方进行PPP合同谈判，基本达成一致。</w:t>
            </w:r>
          </w:p>
          <w:p>
            <w:pPr>
              <w:spacing w:line="320" w:lineRule="exact"/>
              <w:ind w:firstLine="482" w:firstLineChars="200"/>
              <w:rPr>
                <w:rFonts w:hint="default" w:ascii="Times New Roman" w:hAnsi="Times New Roman" w:eastAsia="仿宋_GB2312" w:cs="Times New Roman"/>
                <w:b w:val="0"/>
                <w:bCs w:val="0"/>
                <w:color w:val="auto"/>
                <w:sz w:val="24"/>
                <w:szCs w:val="24"/>
                <w:lang w:eastAsia="zh-CN"/>
              </w:rPr>
            </w:pPr>
            <w:r>
              <w:rPr>
                <w:rFonts w:hint="default" w:ascii="Times New Roman" w:hAnsi="Times New Roman" w:eastAsia="仿宋_GB2312" w:cs="Times New Roman"/>
                <w:b/>
                <w:bCs/>
                <w:color w:val="auto"/>
                <w:sz w:val="24"/>
                <w:szCs w:val="24"/>
              </w:rPr>
              <w:t>杭绍台高速至杭金衢高速连接线</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b w:val="0"/>
                <w:bCs w:val="0"/>
                <w:color w:val="auto"/>
                <w:sz w:val="24"/>
                <w:szCs w:val="24"/>
                <w:lang w:val="en-US" w:eastAsia="zh-CN"/>
              </w:rPr>
              <w:t>完成用地预审，正在进行初步设计报批。</w:t>
            </w:r>
          </w:p>
          <w:p>
            <w:pPr>
              <w:spacing w:line="320" w:lineRule="exact"/>
              <w:ind w:firstLine="482" w:firstLineChars="200"/>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bCs/>
                <w:color w:val="auto"/>
                <w:sz w:val="24"/>
                <w:szCs w:val="24"/>
              </w:rPr>
              <w:t>杭州中环绍兴柯桥段</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b/>
                <w:bCs/>
                <w:color w:val="auto"/>
                <w:sz w:val="24"/>
                <w:szCs w:val="24"/>
                <w:lang w:val="en-US" w:eastAsia="zh-CN"/>
              </w:rPr>
              <w:t>地面部分</w:t>
            </w:r>
            <w:r>
              <w:rPr>
                <w:rFonts w:hint="default"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val="0"/>
                <w:bCs w:val="0"/>
                <w:color w:val="auto"/>
                <w:sz w:val="24"/>
                <w:szCs w:val="24"/>
                <w:lang w:val="en-US" w:eastAsia="zh-CN"/>
              </w:rPr>
              <w:t>完成立项调整，正在省自然资源厅进行用地预审。</w:t>
            </w:r>
          </w:p>
          <w:p>
            <w:pPr>
              <w:spacing w:line="320" w:lineRule="exact"/>
              <w:ind w:firstLine="482" w:firstLineChars="20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rPr>
              <w:t>527国道嵊</w:t>
            </w:r>
            <w:r>
              <w:rPr>
                <w:rFonts w:hint="default" w:ascii="Times New Roman" w:hAnsi="Times New Roman" w:eastAsia="仿宋_GB2312" w:cs="Times New Roman"/>
                <w:b/>
                <w:bCs/>
                <w:color w:val="auto"/>
                <w:sz w:val="24"/>
                <w:szCs w:val="24"/>
                <w:lang w:val="en-US" w:eastAsia="zh-CN"/>
              </w:rPr>
              <w:t>新段：</w:t>
            </w:r>
            <w:r>
              <w:rPr>
                <w:rFonts w:hint="eastAsia" w:ascii="Times New Roman" w:hAnsi="Times New Roman" w:eastAsia="仿宋_GB2312" w:cs="Times New Roman"/>
                <w:b w:val="0"/>
                <w:bCs w:val="0"/>
                <w:color w:val="auto"/>
                <w:sz w:val="24"/>
                <w:szCs w:val="24"/>
                <w:lang w:val="en-US" w:eastAsia="zh-CN"/>
              </w:rPr>
              <w:t>新昌段二期项建书已上报，待批复。</w:t>
            </w:r>
            <w:r>
              <w:rPr>
                <w:rFonts w:hint="eastAsia" w:ascii="Times New Roman" w:hAnsi="Times New Roman" w:eastAsia="仿宋_GB2312" w:cs="Times New Roman"/>
                <w:color w:val="auto"/>
                <w:sz w:val="24"/>
                <w:szCs w:val="28"/>
                <w:lang w:val="en-US" w:eastAsia="zh-CN"/>
              </w:rPr>
              <w:t>527国道新昌大市聚至嵊州黄泽段工程（新昌段）总体形象进度至25.6%；527国道新昌大市聚至嵊州黄泽段工程（嵊州段）总体形象进度至10%；527国道嵊州甘霖至长乐段工程已开工。</w:t>
            </w:r>
          </w:p>
          <w:p>
            <w:pPr>
              <w:spacing w:line="320" w:lineRule="exact"/>
              <w:ind w:firstLine="482" w:firstLineChars="200"/>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曹娥江上浦船闸及航道工程：</w:t>
            </w:r>
            <w:r>
              <w:rPr>
                <w:rFonts w:hint="eastAsia" w:ascii="Times New Roman" w:hAnsi="Times New Roman" w:eastAsia="仿宋_GB2312" w:cs="Times New Roman"/>
                <w:color w:val="auto"/>
                <w:sz w:val="24"/>
                <w:szCs w:val="28"/>
                <w:lang w:val="en-US" w:eastAsia="zh-CN"/>
              </w:rPr>
              <w:t>桥梁标总体形象进度至98.7%，船闸标总体形象进度至44.3%。</w:t>
            </w:r>
          </w:p>
          <w:p>
            <w:pPr>
              <w:spacing w:line="320" w:lineRule="exact"/>
              <w:ind w:firstLine="482" w:firstLineChars="20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rPr>
              <w:t>104国道东湖至蒿坝段</w:t>
            </w:r>
            <w:r>
              <w:rPr>
                <w:rFonts w:hint="default"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val="0"/>
                <w:bCs w:val="0"/>
                <w:color w:val="auto"/>
                <w:sz w:val="24"/>
                <w:szCs w:val="24"/>
                <w:lang w:val="en-US" w:eastAsia="zh-CN"/>
              </w:rPr>
              <w:t>深化初步设计方案。</w:t>
            </w:r>
          </w:p>
          <w:p>
            <w:pPr>
              <w:spacing w:line="320" w:lineRule="exact"/>
              <w:ind w:firstLine="482" w:firstLineChars="200"/>
              <w:rPr>
                <w:rFonts w:hint="default" w:ascii="Times New Roman" w:hAnsi="Times New Roman" w:eastAsia="仿宋_GB2312" w:cs="Times New Roman"/>
                <w:b/>
                <w:bCs/>
                <w:color w:val="auto"/>
                <w:sz w:val="24"/>
                <w:szCs w:val="28"/>
                <w:lang w:val="en-US" w:eastAsia="zh-CN"/>
              </w:rPr>
            </w:pPr>
            <w:r>
              <w:rPr>
                <w:rFonts w:hint="default" w:ascii="Times New Roman" w:hAnsi="Times New Roman" w:eastAsia="仿宋_GB2312" w:cs="Times New Roman"/>
                <w:b/>
                <w:bCs/>
                <w:color w:val="auto"/>
                <w:sz w:val="24"/>
                <w:szCs w:val="24"/>
              </w:rPr>
              <w:t>329国道上虞段</w:t>
            </w:r>
            <w:r>
              <w:rPr>
                <w:rFonts w:hint="default"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color w:val="auto"/>
                <w:sz w:val="24"/>
                <w:szCs w:val="28"/>
                <w:lang w:val="en-US" w:eastAsia="zh-CN"/>
              </w:rPr>
              <w:t>项目已开工。</w:t>
            </w:r>
          </w:p>
          <w:p>
            <w:pPr>
              <w:spacing w:line="320" w:lineRule="exact"/>
              <w:ind w:firstLine="482" w:firstLineChars="20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rPr>
              <w:t>柯诸高速公路</w:t>
            </w:r>
            <w:r>
              <w:rPr>
                <w:rFonts w:hint="default"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val="0"/>
                <w:bCs w:val="0"/>
                <w:color w:val="auto"/>
                <w:sz w:val="24"/>
                <w:szCs w:val="24"/>
                <w:lang w:val="en-US" w:eastAsia="zh-CN"/>
              </w:rPr>
              <w:t>开展初步设计。</w:t>
            </w:r>
          </w:p>
          <w:p>
            <w:pPr>
              <w:spacing w:line="320" w:lineRule="exact"/>
              <w:ind w:firstLine="482" w:firstLineChars="20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rPr>
              <w:t>杭绍台高速公路</w:t>
            </w:r>
            <w:r>
              <w:rPr>
                <w:rFonts w:hint="default"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val="0"/>
                <w:bCs w:val="0"/>
                <w:color w:val="auto"/>
                <w:sz w:val="24"/>
                <w:szCs w:val="28"/>
                <w:lang w:eastAsia="zh-CN"/>
              </w:rPr>
              <w:t>总体</w:t>
            </w:r>
            <w:bookmarkStart w:id="0" w:name="_GoBack"/>
            <w:bookmarkEnd w:id="0"/>
            <w:r>
              <w:rPr>
                <w:rFonts w:hint="eastAsia" w:ascii="Times New Roman" w:hAnsi="Times New Roman" w:eastAsia="仿宋_GB2312" w:cs="Times New Roman"/>
                <w:b w:val="0"/>
                <w:bCs w:val="0"/>
                <w:color w:val="auto"/>
                <w:sz w:val="24"/>
                <w:szCs w:val="28"/>
                <w:lang w:eastAsia="zh-CN"/>
              </w:rPr>
              <w:t>形象进度9</w:t>
            </w:r>
            <w:r>
              <w:rPr>
                <w:rFonts w:hint="eastAsia" w:ascii="Times New Roman" w:hAnsi="Times New Roman" w:eastAsia="仿宋_GB2312" w:cs="Times New Roman"/>
                <w:b w:val="0"/>
                <w:bCs w:val="0"/>
                <w:color w:val="auto"/>
                <w:sz w:val="24"/>
                <w:szCs w:val="28"/>
                <w:lang w:val="en-US" w:eastAsia="zh-CN"/>
              </w:rPr>
              <w:t>2.8</w:t>
            </w:r>
            <w:r>
              <w:rPr>
                <w:rFonts w:hint="eastAsia" w:ascii="Times New Roman" w:hAnsi="Times New Roman" w:eastAsia="仿宋_GB2312" w:cs="Times New Roman"/>
                <w:b w:val="0"/>
                <w:bCs w:val="0"/>
                <w:color w:val="auto"/>
                <w:sz w:val="24"/>
                <w:szCs w:val="28"/>
                <w:lang w:eastAsia="zh-CN"/>
              </w:rPr>
              <w:t>%，</w:t>
            </w:r>
            <w:r>
              <w:rPr>
                <w:rFonts w:hint="eastAsia" w:ascii="Times New Roman" w:hAnsi="Times New Roman" w:eastAsia="仿宋_GB2312" w:cs="Times New Roman"/>
                <w:b w:val="0"/>
                <w:bCs w:val="0"/>
                <w:color w:val="auto"/>
                <w:sz w:val="24"/>
                <w:szCs w:val="28"/>
                <w:lang w:val="en-US" w:eastAsia="zh-CN"/>
              </w:rPr>
              <w:t>回山尖山段即将通车。</w:t>
            </w:r>
          </w:p>
          <w:p>
            <w:pPr>
              <w:spacing w:line="320" w:lineRule="exact"/>
              <w:ind w:firstLine="482" w:firstLineChars="200"/>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rPr>
              <w:t>群贤路东延三期</w:t>
            </w:r>
            <w:r>
              <w:rPr>
                <w:rFonts w:hint="default" w:ascii="Times New Roman" w:hAnsi="Times New Roman" w:eastAsia="仿宋_GB2312" w:cs="Times New Roman"/>
                <w:b/>
                <w:bCs/>
                <w:color w:val="auto"/>
                <w:sz w:val="24"/>
                <w:szCs w:val="24"/>
                <w:lang w:eastAsia="zh-CN"/>
              </w:rPr>
              <w:t>：</w:t>
            </w:r>
            <w:r>
              <w:rPr>
                <w:rFonts w:hint="eastAsia" w:ascii="仿宋_GB2312" w:hAnsi="仿宋_GB2312" w:eastAsia="仿宋_GB2312" w:cs="仿宋_GB2312"/>
                <w:b w:val="0"/>
                <w:bCs w:val="0"/>
                <w:color w:val="auto"/>
                <w:sz w:val="24"/>
                <w:szCs w:val="28"/>
                <w:lang w:val="en-US" w:eastAsia="zh-CN"/>
              </w:rPr>
              <w:t>工程基本完工，进入扫尾阶段。</w:t>
            </w:r>
          </w:p>
          <w:p>
            <w:pPr>
              <w:spacing w:line="320" w:lineRule="exact"/>
              <w:ind w:firstLine="482" w:firstLineChars="20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rPr>
              <w:t>南部综合交通枢纽</w:t>
            </w:r>
            <w:r>
              <w:rPr>
                <w:rFonts w:hint="default" w:ascii="Times New Roman" w:hAnsi="Times New Roman" w:eastAsia="仿宋_GB2312" w:cs="Times New Roman"/>
                <w:b/>
                <w:bCs/>
                <w:color w:val="auto"/>
                <w:sz w:val="24"/>
                <w:szCs w:val="24"/>
                <w:lang w:eastAsia="zh-CN"/>
              </w:rPr>
              <w:t>：</w:t>
            </w:r>
            <w:r>
              <w:rPr>
                <w:rFonts w:hint="eastAsia" w:ascii="仿宋_GB2312" w:hAnsi="仿宋_GB2312" w:eastAsia="仿宋_GB2312" w:cs="仿宋_GB2312"/>
                <w:b w:val="0"/>
                <w:bCs w:val="0"/>
                <w:color w:val="auto"/>
                <w:sz w:val="24"/>
                <w:szCs w:val="28"/>
                <w:lang w:eastAsia="zh-CN"/>
              </w:rPr>
              <w:t>总体形象进度8</w:t>
            </w:r>
            <w:r>
              <w:rPr>
                <w:rFonts w:hint="eastAsia" w:ascii="仿宋_GB2312" w:hAnsi="仿宋_GB2312" w:eastAsia="仿宋_GB2312" w:cs="仿宋_GB2312"/>
                <w:b w:val="0"/>
                <w:bCs w:val="0"/>
                <w:color w:val="auto"/>
                <w:sz w:val="24"/>
                <w:szCs w:val="28"/>
                <w:lang w:val="en-US" w:eastAsia="zh-CN"/>
              </w:rPr>
              <w:t>9.2</w:t>
            </w:r>
            <w:r>
              <w:rPr>
                <w:rFonts w:hint="eastAsia" w:ascii="仿宋_GB2312" w:hAnsi="仿宋_GB2312" w:eastAsia="仿宋_GB2312" w:cs="仿宋_GB2312"/>
                <w:b w:val="0"/>
                <w:bCs w:val="0"/>
                <w:color w:val="auto"/>
                <w:sz w:val="24"/>
                <w:szCs w:val="28"/>
                <w:lang w:eastAsia="zh-CN"/>
              </w:rPr>
              <w:t>%。</w:t>
            </w:r>
          </w:p>
          <w:p>
            <w:pPr>
              <w:spacing w:line="320" w:lineRule="exact"/>
              <w:ind w:firstLine="482" w:firstLineChars="200"/>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rPr>
              <w:t>杭州绕城高速西复线诸暨段</w:t>
            </w:r>
            <w:r>
              <w:rPr>
                <w:rFonts w:hint="default"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val="0"/>
                <w:bCs w:val="0"/>
                <w:color w:val="auto"/>
                <w:sz w:val="24"/>
                <w:szCs w:val="24"/>
                <w:lang w:val="en-US" w:eastAsia="zh-CN"/>
              </w:rPr>
              <w:t>已完工。</w:t>
            </w:r>
          </w:p>
          <w:p>
            <w:pPr>
              <w:spacing w:line="320" w:lineRule="exact"/>
              <w:ind w:firstLine="482" w:firstLineChars="20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rPr>
              <w:t>31省道北延接萧山机场段</w:t>
            </w:r>
            <w:r>
              <w:rPr>
                <w:rFonts w:hint="default"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val="0"/>
                <w:bCs w:val="0"/>
                <w:color w:val="auto"/>
                <w:sz w:val="24"/>
                <w:szCs w:val="24"/>
                <w:lang w:val="en-US" w:eastAsia="zh-CN"/>
              </w:rPr>
              <w:t>已完工。</w:t>
            </w:r>
          </w:p>
          <w:p>
            <w:pPr>
              <w:spacing w:line="320" w:lineRule="exact"/>
              <w:ind w:firstLine="482" w:firstLineChars="200"/>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bCs/>
                <w:color w:val="auto"/>
                <w:sz w:val="24"/>
                <w:szCs w:val="24"/>
              </w:rPr>
              <w:t>235国道诸暨段</w:t>
            </w:r>
            <w:r>
              <w:rPr>
                <w:rFonts w:hint="default"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lang w:val="en-US" w:eastAsia="zh-CN"/>
              </w:rPr>
              <w:t>初步设计已批复，</w:t>
            </w:r>
            <w:r>
              <w:rPr>
                <w:rFonts w:hint="eastAsia" w:ascii="Times New Roman" w:hAnsi="Times New Roman" w:eastAsia="仿宋_GB2312" w:cs="Times New Roman"/>
                <w:b w:val="0"/>
                <w:bCs w:val="0"/>
                <w:color w:val="auto"/>
                <w:sz w:val="24"/>
                <w:szCs w:val="24"/>
                <w:lang w:val="en-US" w:eastAsia="zh-CN"/>
              </w:rPr>
              <w:t>计划于11月30日进行EPC招投标，沿线政策处理工作正在开展。</w:t>
            </w:r>
          </w:p>
          <w:p>
            <w:pPr>
              <w:spacing w:line="320" w:lineRule="exact"/>
              <w:ind w:firstLine="482" w:firstLineChars="20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lang w:val="en-US" w:eastAsia="zh-CN"/>
              </w:rPr>
              <w:t>虞南高速</w:t>
            </w:r>
            <w:r>
              <w:rPr>
                <w:rFonts w:hint="eastAsia" w:ascii="Times New Roman" w:hAnsi="Times New Roman" w:eastAsia="仿宋_GB2312" w:cs="Times New Roman"/>
                <w:b/>
                <w:bCs/>
                <w:color w:val="auto"/>
                <w:sz w:val="24"/>
                <w:szCs w:val="24"/>
                <w:lang w:val="en-US" w:eastAsia="zh-CN"/>
              </w:rPr>
              <w:t>:</w:t>
            </w:r>
            <w:r>
              <w:rPr>
                <w:rFonts w:hint="eastAsia" w:ascii="Times New Roman" w:hAnsi="Times New Roman" w:eastAsia="仿宋_GB2312" w:cs="Times New Roman"/>
                <w:b w:val="0"/>
                <w:bCs w:val="0"/>
                <w:color w:val="auto"/>
                <w:sz w:val="24"/>
                <w:szCs w:val="24"/>
                <w:lang w:val="en-US" w:eastAsia="zh-CN"/>
              </w:rPr>
              <w:t>开展线位方案研究。</w:t>
            </w:r>
          </w:p>
          <w:p>
            <w:pPr>
              <w:keepNext w:val="0"/>
              <w:keepLines w:val="0"/>
              <w:pageBreakBefore w:val="0"/>
              <w:kinsoku/>
              <w:wordWrap/>
              <w:overflowPunct/>
              <w:topLinePunct w:val="0"/>
              <w:autoSpaceDE/>
              <w:autoSpaceDN/>
              <w:bidi w:val="0"/>
              <w:adjustRightInd/>
              <w:snapToGrid/>
              <w:spacing w:line="380" w:lineRule="exact"/>
              <w:ind w:firstLine="482" w:firstLineChars="200"/>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bCs/>
                <w:color w:val="auto"/>
                <w:sz w:val="24"/>
                <w:szCs w:val="24"/>
                <w:lang w:val="en-US" w:eastAsia="zh-CN"/>
              </w:rPr>
              <w:t>诸嵊高速：</w:t>
            </w:r>
            <w:r>
              <w:rPr>
                <w:rFonts w:hint="eastAsia" w:ascii="Times New Roman" w:hAnsi="Times New Roman" w:eastAsia="仿宋_GB2312" w:cs="Times New Roman"/>
                <w:b w:val="0"/>
                <w:bCs w:val="0"/>
                <w:color w:val="auto"/>
                <w:sz w:val="24"/>
                <w:szCs w:val="24"/>
                <w:lang w:val="en-US" w:eastAsia="zh-CN"/>
              </w:rPr>
              <w:t>开展线位方案研究。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7"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w:t>
            </w:r>
          </w:p>
        </w:tc>
        <w:tc>
          <w:tcPr>
            <w:tcW w:w="4493"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高水平推进“四好农村路”建设，改造低等级农村公路420公里，完成乡道、村道特殊路段以及县道公路亮化工程240公里，新增2个省级美丽经济交通走廊达标县。</w:t>
            </w:r>
          </w:p>
        </w:tc>
        <w:tc>
          <w:tcPr>
            <w:tcW w:w="2063"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分管领导：赵梅</w:t>
            </w:r>
          </w:p>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责任处室：市公路与运输管理中心</w:t>
            </w:r>
          </w:p>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责任人：陈海峰</w:t>
            </w:r>
          </w:p>
        </w:tc>
        <w:tc>
          <w:tcPr>
            <w:tcW w:w="7341" w:type="dxa"/>
          </w:tcPr>
          <w:p>
            <w:pPr>
              <w:keepNext w:val="0"/>
              <w:keepLines w:val="0"/>
              <w:pageBreakBefore w:val="0"/>
              <w:kinsoku/>
              <w:wordWrap/>
              <w:overflowPunct/>
              <w:topLinePunct w:val="0"/>
              <w:autoSpaceDE/>
              <w:autoSpaceDN/>
              <w:bidi w:val="0"/>
              <w:adjustRightInd/>
              <w:snapToGrid/>
              <w:spacing w:line="380" w:lineRule="exact"/>
              <w:ind w:firstLine="480" w:firstLineChars="200"/>
              <w:outlineLvl w:val="9"/>
              <w:rPr>
                <w:rFonts w:hint="default" w:ascii="Times New Roman" w:hAnsi="Times New Roman" w:eastAsia="仿宋_GB2312" w:cs="Times New Roman"/>
                <w:bCs/>
                <w:color w:val="auto"/>
                <w:sz w:val="24"/>
                <w:szCs w:val="24"/>
              </w:rPr>
            </w:pPr>
            <w:r>
              <w:rPr>
                <w:rFonts w:hint="eastAsia" w:ascii="Times New Roman" w:hAnsi="Times New Roman" w:eastAsia="仿宋_GB2312" w:cs="Times New Roman"/>
                <w:bCs/>
                <w:color w:val="auto"/>
                <w:sz w:val="24"/>
                <w:szCs w:val="32"/>
              </w:rPr>
              <w:t>全市已完成提升改造低等级公路423.5公里，已完成亮化工程244.7公里，均已完成年度目标任务。同时，上虞区、越城区、嵊州市、新昌县完成美丽经济交通走廊示范县、达标县省级现场复核工作。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7"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3</w:t>
            </w:r>
          </w:p>
        </w:tc>
        <w:tc>
          <w:tcPr>
            <w:tcW w:w="4493"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加快推进老旧营运车辆淘汰工作，淘汰国三及以下营运柴油货车1500台；创建绍兴公路治超非现场执法省级示范区。</w:t>
            </w:r>
          </w:p>
        </w:tc>
        <w:tc>
          <w:tcPr>
            <w:tcW w:w="2063"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责任处室：市交通运输综合行政执法队</w:t>
            </w:r>
          </w:p>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责任人：余万芳、谢澄宇</w:t>
            </w:r>
          </w:p>
        </w:tc>
        <w:tc>
          <w:tcPr>
            <w:tcW w:w="7341" w:type="dxa"/>
          </w:tcPr>
          <w:p>
            <w:pPr>
              <w:ind w:firstLine="482" w:firstLineChars="200"/>
              <w:rPr>
                <w:rFonts w:hint="default" w:ascii="Times New Roman" w:hAnsi="Times New Roman" w:eastAsia="仿宋_GB2312" w:cs="Times New Roman"/>
                <w:bCs/>
                <w:color w:val="auto"/>
                <w:sz w:val="24"/>
                <w:szCs w:val="24"/>
                <w:lang w:eastAsia="zh-CN"/>
              </w:rPr>
            </w:pPr>
            <w:r>
              <w:rPr>
                <w:rFonts w:hint="default" w:ascii="Times New Roman" w:hAnsi="Times New Roman" w:eastAsia="仿宋_GB2312" w:cs="Times New Roman"/>
                <w:b/>
                <w:color w:val="auto"/>
                <w:sz w:val="24"/>
                <w:szCs w:val="24"/>
              </w:rPr>
              <w:t>老旧营运车辆淘汰:</w:t>
            </w:r>
            <w:r>
              <w:rPr>
                <w:rFonts w:hint="eastAsia" w:ascii="Times New Roman" w:hAnsi="Times New Roman" w:eastAsia="仿宋_GB2312" w:cs="Times New Roman"/>
                <w:bCs/>
                <w:sz w:val="24"/>
                <w:szCs w:val="32"/>
              </w:rPr>
              <w:t>老旧营运车淘汰数2019年淘汰1912辆（滨海有4辆淘汰车），营运车辆补贴数2190.7万元（滨海有7.2万元）；2020年淘汰1221辆，营运车辆补贴数3441万元（其中柯桥未上报），2019-2020年11月19日合计淘汰车辆3137辆，营运车辆补贴数5638.9万元</w:t>
            </w:r>
            <w:r>
              <w:rPr>
                <w:rFonts w:hint="eastAsia" w:ascii="Times New Roman" w:hAnsi="Times New Roman" w:eastAsia="仿宋_GB2312" w:cs="Times New Roman"/>
                <w:bCs/>
                <w:sz w:val="24"/>
                <w:szCs w:val="32"/>
                <w:lang w:eastAsia="zh-CN"/>
              </w:rPr>
              <w:t>。</w:t>
            </w:r>
          </w:p>
          <w:p>
            <w:pPr>
              <w:keepNext w:val="0"/>
              <w:keepLines w:val="0"/>
              <w:pageBreakBefore w:val="0"/>
              <w:kinsoku/>
              <w:wordWrap/>
              <w:overflowPunct/>
              <w:topLinePunct w:val="0"/>
              <w:autoSpaceDE/>
              <w:autoSpaceDN/>
              <w:bidi w:val="0"/>
              <w:adjustRightInd/>
              <w:snapToGrid/>
              <w:spacing w:line="380" w:lineRule="exact"/>
              <w:ind w:firstLine="482" w:firstLineChars="200"/>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color w:val="auto"/>
                <w:sz w:val="24"/>
                <w:szCs w:val="24"/>
              </w:rPr>
              <w:t>治超非现场执法:</w:t>
            </w:r>
            <w:r>
              <w:rPr>
                <w:rFonts w:hint="eastAsia" w:ascii="Times New Roman" w:hAnsi="Times New Roman" w:eastAsia="仿宋_GB2312" w:cs="Times New Roman"/>
                <w:bCs/>
                <w:sz w:val="24"/>
                <w:szCs w:val="32"/>
                <w:lang w:eastAsia="zh-CN"/>
              </w:rPr>
              <w:t>印发市治超办工作制度和《绍兴市治理货运车辆违法超限超载运输工作考核评价办法》（试行）。督促指导嵊州市交通执法队根据省公运中心要求超限运输检测站迎国评准备工作。督促各区、县（市）加快推进重点货运源头单位计量称重设备检测数据和监控视频接入超限运输治理监管平台有关工作，目前治超监管平台相应模块改造工作已完成，待企业数据接入。督促推进治超非现设施取证系统升级工作。申报治超非现场执法改革创新最佳实践案例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7"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4</w:t>
            </w:r>
          </w:p>
        </w:tc>
        <w:tc>
          <w:tcPr>
            <w:tcW w:w="4493"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持续优化公交服务，全市建成公交首末站12个，新建（改建）375个公交候车亭。</w:t>
            </w:r>
          </w:p>
        </w:tc>
        <w:tc>
          <w:tcPr>
            <w:tcW w:w="2063"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分管领导：许国荣</w:t>
            </w:r>
          </w:p>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责任处室：运输处</w:t>
            </w:r>
          </w:p>
          <w:p>
            <w:pPr>
              <w:keepNext w:val="0"/>
              <w:keepLines w:val="0"/>
              <w:pageBreakBefore w:val="0"/>
              <w:kinsoku/>
              <w:wordWrap/>
              <w:overflowPunct/>
              <w:topLinePunct w:val="0"/>
              <w:autoSpaceDE/>
              <w:autoSpaceDN/>
              <w:bidi w:val="0"/>
              <w:adjustRightInd/>
              <w:snapToGrid/>
              <w:spacing w:line="380" w:lineRule="exact"/>
              <w:outlineLvl w:val="9"/>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责任人：郭焱</w:t>
            </w:r>
          </w:p>
        </w:tc>
        <w:tc>
          <w:tcPr>
            <w:tcW w:w="7341" w:type="dxa"/>
          </w:tcPr>
          <w:p>
            <w:pPr>
              <w:spacing w:line="320" w:lineRule="exact"/>
              <w:ind w:firstLine="482" w:firstLineChars="200"/>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color w:val="auto"/>
                <w:sz w:val="24"/>
                <w:szCs w:val="24"/>
              </w:rPr>
              <w:t>公交首末站：</w:t>
            </w:r>
            <w:r>
              <w:rPr>
                <w:rFonts w:hint="eastAsia" w:ascii="Times New Roman" w:hAnsi="Times New Roman" w:eastAsia="仿宋_GB2312" w:cs="Times New Roman"/>
                <w:bCs/>
                <w:sz w:val="24"/>
                <w:szCs w:val="32"/>
              </w:rPr>
              <w:t>已完成12个，完成率100%，各区（县、市）均已完成任务。</w:t>
            </w:r>
          </w:p>
          <w:p>
            <w:pPr>
              <w:keepNext w:val="0"/>
              <w:keepLines w:val="0"/>
              <w:pageBreakBefore w:val="0"/>
              <w:kinsoku/>
              <w:wordWrap/>
              <w:overflowPunct/>
              <w:topLinePunct w:val="0"/>
              <w:autoSpaceDE/>
              <w:autoSpaceDN/>
              <w:bidi w:val="0"/>
              <w:adjustRightInd/>
              <w:snapToGrid/>
              <w:spacing w:line="380" w:lineRule="exact"/>
              <w:ind w:firstLine="482" w:firstLineChars="200"/>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color w:val="auto"/>
                <w:sz w:val="24"/>
                <w:szCs w:val="24"/>
              </w:rPr>
              <w:t>公交候车厅：</w:t>
            </w:r>
            <w:r>
              <w:rPr>
                <w:rFonts w:hint="eastAsia" w:ascii="Times New Roman" w:hAnsi="Times New Roman" w:eastAsia="仿宋_GB2312" w:cs="Times New Roman"/>
                <w:bCs/>
                <w:sz w:val="24"/>
                <w:szCs w:val="32"/>
              </w:rPr>
              <w:t>已完成375个，完成率100%，各区（县、市）均已完成任务。</w:t>
            </w:r>
          </w:p>
        </w:tc>
      </w:tr>
    </w:tbl>
    <w:p>
      <w:pPr>
        <w:spacing w:line="510" w:lineRule="exact"/>
        <w:rPr>
          <w:rFonts w:ascii="Times New Roman" w:hAnsi="Times New Roman" w:eastAsia="仿宋_GB2312" w:cs="Times New Roman"/>
          <w:bCs/>
          <w:sz w:val="24"/>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FE7"/>
    <w:rsid w:val="00031204"/>
    <w:rsid w:val="0003372A"/>
    <w:rsid w:val="00040990"/>
    <w:rsid w:val="00040CDE"/>
    <w:rsid w:val="0004719B"/>
    <w:rsid w:val="000638DE"/>
    <w:rsid w:val="00080D11"/>
    <w:rsid w:val="00090085"/>
    <w:rsid w:val="000B6FEB"/>
    <w:rsid w:val="000C4B74"/>
    <w:rsid w:val="000C6331"/>
    <w:rsid w:val="000C6AD0"/>
    <w:rsid w:val="000D2E62"/>
    <w:rsid w:val="000D5364"/>
    <w:rsid w:val="000D5E5E"/>
    <w:rsid w:val="000E2A65"/>
    <w:rsid w:val="001255C2"/>
    <w:rsid w:val="00130EAE"/>
    <w:rsid w:val="00133057"/>
    <w:rsid w:val="00136C5C"/>
    <w:rsid w:val="0014225A"/>
    <w:rsid w:val="00143C26"/>
    <w:rsid w:val="00145FB7"/>
    <w:rsid w:val="00146AE5"/>
    <w:rsid w:val="001608E3"/>
    <w:rsid w:val="00166E12"/>
    <w:rsid w:val="00172A27"/>
    <w:rsid w:val="001907EA"/>
    <w:rsid w:val="001930F8"/>
    <w:rsid w:val="00195CB4"/>
    <w:rsid w:val="001D4BE5"/>
    <w:rsid w:val="001E0F70"/>
    <w:rsid w:val="001F163C"/>
    <w:rsid w:val="002030E4"/>
    <w:rsid w:val="0020390F"/>
    <w:rsid w:val="0021033B"/>
    <w:rsid w:val="002104EA"/>
    <w:rsid w:val="00214B97"/>
    <w:rsid w:val="00222DFE"/>
    <w:rsid w:val="0022542D"/>
    <w:rsid w:val="00230266"/>
    <w:rsid w:val="00231334"/>
    <w:rsid w:val="00233DC0"/>
    <w:rsid w:val="0023782F"/>
    <w:rsid w:val="00244A2E"/>
    <w:rsid w:val="00267674"/>
    <w:rsid w:val="00272FFF"/>
    <w:rsid w:val="0028519D"/>
    <w:rsid w:val="00291360"/>
    <w:rsid w:val="00291AA3"/>
    <w:rsid w:val="002A1425"/>
    <w:rsid w:val="002C3B8E"/>
    <w:rsid w:val="002C43DB"/>
    <w:rsid w:val="002C5593"/>
    <w:rsid w:val="002C5B81"/>
    <w:rsid w:val="002D2A31"/>
    <w:rsid w:val="002E72CD"/>
    <w:rsid w:val="002E7CB9"/>
    <w:rsid w:val="002F2F54"/>
    <w:rsid w:val="00344CEF"/>
    <w:rsid w:val="00347830"/>
    <w:rsid w:val="00361BB2"/>
    <w:rsid w:val="003621D2"/>
    <w:rsid w:val="0036597E"/>
    <w:rsid w:val="003905AD"/>
    <w:rsid w:val="00396FC2"/>
    <w:rsid w:val="003A3600"/>
    <w:rsid w:val="003A7803"/>
    <w:rsid w:val="003B58B5"/>
    <w:rsid w:val="003D09CF"/>
    <w:rsid w:val="003D15B7"/>
    <w:rsid w:val="003D404E"/>
    <w:rsid w:val="003E0EB4"/>
    <w:rsid w:val="003F17D7"/>
    <w:rsid w:val="003F294C"/>
    <w:rsid w:val="004051DA"/>
    <w:rsid w:val="00421ACE"/>
    <w:rsid w:val="00424493"/>
    <w:rsid w:val="00430993"/>
    <w:rsid w:val="004338BC"/>
    <w:rsid w:val="00433BAB"/>
    <w:rsid w:val="004467E6"/>
    <w:rsid w:val="0044791E"/>
    <w:rsid w:val="004518A8"/>
    <w:rsid w:val="004651A9"/>
    <w:rsid w:val="00467CFE"/>
    <w:rsid w:val="0047690F"/>
    <w:rsid w:val="00480AC0"/>
    <w:rsid w:val="0048620D"/>
    <w:rsid w:val="0049766A"/>
    <w:rsid w:val="004A061D"/>
    <w:rsid w:val="004A5099"/>
    <w:rsid w:val="004B36CA"/>
    <w:rsid w:val="004B3AC3"/>
    <w:rsid w:val="004D05CB"/>
    <w:rsid w:val="004F0B13"/>
    <w:rsid w:val="005003EA"/>
    <w:rsid w:val="00501228"/>
    <w:rsid w:val="00501A09"/>
    <w:rsid w:val="005320F3"/>
    <w:rsid w:val="00534D62"/>
    <w:rsid w:val="005360FB"/>
    <w:rsid w:val="005514BC"/>
    <w:rsid w:val="0055449C"/>
    <w:rsid w:val="0056017C"/>
    <w:rsid w:val="005621ED"/>
    <w:rsid w:val="00576B9A"/>
    <w:rsid w:val="00585395"/>
    <w:rsid w:val="00595742"/>
    <w:rsid w:val="005A3768"/>
    <w:rsid w:val="005A3873"/>
    <w:rsid w:val="005B0914"/>
    <w:rsid w:val="005B0DB1"/>
    <w:rsid w:val="005B3E2B"/>
    <w:rsid w:val="005D1870"/>
    <w:rsid w:val="005D6B55"/>
    <w:rsid w:val="005E3051"/>
    <w:rsid w:val="006072AF"/>
    <w:rsid w:val="00607A19"/>
    <w:rsid w:val="00610DB4"/>
    <w:rsid w:val="0061470E"/>
    <w:rsid w:val="00622D12"/>
    <w:rsid w:val="00623498"/>
    <w:rsid w:val="00626EDC"/>
    <w:rsid w:val="00627BEF"/>
    <w:rsid w:val="00633BC4"/>
    <w:rsid w:val="00634F39"/>
    <w:rsid w:val="00651C0D"/>
    <w:rsid w:val="0066206B"/>
    <w:rsid w:val="00665912"/>
    <w:rsid w:val="00690308"/>
    <w:rsid w:val="00691D65"/>
    <w:rsid w:val="0069539D"/>
    <w:rsid w:val="006A2A90"/>
    <w:rsid w:val="006A326D"/>
    <w:rsid w:val="006A5F46"/>
    <w:rsid w:val="006C0027"/>
    <w:rsid w:val="006C3B03"/>
    <w:rsid w:val="006C5A23"/>
    <w:rsid w:val="006D3BA7"/>
    <w:rsid w:val="006E31D6"/>
    <w:rsid w:val="006E49B9"/>
    <w:rsid w:val="006E5A0C"/>
    <w:rsid w:val="006F1186"/>
    <w:rsid w:val="00703B80"/>
    <w:rsid w:val="0070572D"/>
    <w:rsid w:val="007068F8"/>
    <w:rsid w:val="0071524F"/>
    <w:rsid w:val="00716B0A"/>
    <w:rsid w:val="00733A0B"/>
    <w:rsid w:val="0074253C"/>
    <w:rsid w:val="00744316"/>
    <w:rsid w:val="007473C6"/>
    <w:rsid w:val="00787130"/>
    <w:rsid w:val="0079094B"/>
    <w:rsid w:val="007A1125"/>
    <w:rsid w:val="007A5301"/>
    <w:rsid w:val="007A775D"/>
    <w:rsid w:val="007B2B1F"/>
    <w:rsid w:val="007E13A0"/>
    <w:rsid w:val="007E6BE3"/>
    <w:rsid w:val="007F0004"/>
    <w:rsid w:val="007F0A7D"/>
    <w:rsid w:val="007F290E"/>
    <w:rsid w:val="00806107"/>
    <w:rsid w:val="00814082"/>
    <w:rsid w:val="00826D54"/>
    <w:rsid w:val="00833B7D"/>
    <w:rsid w:val="00833CDC"/>
    <w:rsid w:val="008449FD"/>
    <w:rsid w:val="00846E1D"/>
    <w:rsid w:val="00853000"/>
    <w:rsid w:val="00854988"/>
    <w:rsid w:val="008569EC"/>
    <w:rsid w:val="008574A6"/>
    <w:rsid w:val="008910DE"/>
    <w:rsid w:val="0089449D"/>
    <w:rsid w:val="008A0562"/>
    <w:rsid w:val="008A3C21"/>
    <w:rsid w:val="008B3C8D"/>
    <w:rsid w:val="008C405D"/>
    <w:rsid w:val="008C5647"/>
    <w:rsid w:val="008C6209"/>
    <w:rsid w:val="008C6258"/>
    <w:rsid w:val="008F11E1"/>
    <w:rsid w:val="008F2D5F"/>
    <w:rsid w:val="009112AF"/>
    <w:rsid w:val="00916E95"/>
    <w:rsid w:val="00940BD2"/>
    <w:rsid w:val="00942A97"/>
    <w:rsid w:val="0095749D"/>
    <w:rsid w:val="00970A50"/>
    <w:rsid w:val="0097500B"/>
    <w:rsid w:val="0097683F"/>
    <w:rsid w:val="00992306"/>
    <w:rsid w:val="009A05E6"/>
    <w:rsid w:val="009A5758"/>
    <w:rsid w:val="009A634E"/>
    <w:rsid w:val="009B3D62"/>
    <w:rsid w:val="009B47C6"/>
    <w:rsid w:val="009B789A"/>
    <w:rsid w:val="009C6583"/>
    <w:rsid w:val="009D05F3"/>
    <w:rsid w:val="009D3136"/>
    <w:rsid w:val="009E0243"/>
    <w:rsid w:val="009E39F9"/>
    <w:rsid w:val="009E44C5"/>
    <w:rsid w:val="009F7D95"/>
    <w:rsid w:val="00A01532"/>
    <w:rsid w:val="00A03800"/>
    <w:rsid w:val="00A04DD6"/>
    <w:rsid w:val="00A10F86"/>
    <w:rsid w:val="00A161E2"/>
    <w:rsid w:val="00A27A0F"/>
    <w:rsid w:val="00A331C3"/>
    <w:rsid w:val="00A35408"/>
    <w:rsid w:val="00A35472"/>
    <w:rsid w:val="00A37D1D"/>
    <w:rsid w:val="00A4257C"/>
    <w:rsid w:val="00A834C7"/>
    <w:rsid w:val="00AA2A42"/>
    <w:rsid w:val="00AA6BA2"/>
    <w:rsid w:val="00AA7FD3"/>
    <w:rsid w:val="00AB6E9E"/>
    <w:rsid w:val="00AC1FFB"/>
    <w:rsid w:val="00AD154C"/>
    <w:rsid w:val="00AD3933"/>
    <w:rsid w:val="00AE0443"/>
    <w:rsid w:val="00AE15E6"/>
    <w:rsid w:val="00AE541C"/>
    <w:rsid w:val="00AF65A1"/>
    <w:rsid w:val="00B04AF8"/>
    <w:rsid w:val="00B11261"/>
    <w:rsid w:val="00B1468A"/>
    <w:rsid w:val="00B166C5"/>
    <w:rsid w:val="00B21B69"/>
    <w:rsid w:val="00B258F0"/>
    <w:rsid w:val="00B27744"/>
    <w:rsid w:val="00B277CD"/>
    <w:rsid w:val="00B3052E"/>
    <w:rsid w:val="00B34F43"/>
    <w:rsid w:val="00B444E4"/>
    <w:rsid w:val="00B57FC1"/>
    <w:rsid w:val="00B61C4C"/>
    <w:rsid w:val="00B65ACE"/>
    <w:rsid w:val="00B901DF"/>
    <w:rsid w:val="00BA050E"/>
    <w:rsid w:val="00BA1CB1"/>
    <w:rsid w:val="00BA307C"/>
    <w:rsid w:val="00BB21DB"/>
    <w:rsid w:val="00BB2B57"/>
    <w:rsid w:val="00BC2128"/>
    <w:rsid w:val="00BD44AA"/>
    <w:rsid w:val="00BD5FBE"/>
    <w:rsid w:val="00BE157F"/>
    <w:rsid w:val="00BF09C6"/>
    <w:rsid w:val="00BF2D60"/>
    <w:rsid w:val="00C145BC"/>
    <w:rsid w:val="00C168D1"/>
    <w:rsid w:val="00C21BED"/>
    <w:rsid w:val="00C3336F"/>
    <w:rsid w:val="00C33FCE"/>
    <w:rsid w:val="00C366B8"/>
    <w:rsid w:val="00C44CE1"/>
    <w:rsid w:val="00C475D6"/>
    <w:rsid w:val="00C52909"/>
    <w:rsid w:val="00C71C65"/>
    <w:rsid w:val="00C9537A"/>
    <w:rsid w:val="00CB0952"/>
    <w:rsid w:val="00CD2DD3"/>
    <w:rsid w:val="00CE2935"/>
    <w:rsid w:val="00D060BE"/>
    <w:rsid w:val="00D130DA"/>
    <w:rsid w:val="00D20A43"/>
    <w:rsid w:val="00D20DE9"/>
    <w:rsid w:val="00D2386E"/>
    <w:rsid w:val="00D23C66"/>
    <w:rsid w:val="00D34025"/>
    <w:rsid w:val="00D46EF1"/>
    <w:rsid w:val="00D532C3"/>
    <w:rsid w:val="00D62BBA"/>
    <w:rsid w:val="00D703FA"/>
    <w:rsid w:val="00D70E17"/>
    <w:rsid w:val="00D7118E"/>
    <w:rsid w:val="00D73A88"/>
    <w:rsid w:val="00D8183A"/>
    <w:rsid w:val="00D82C3B"/>
    <w:rsid w:val="00D87CFA"/>
    <w:rsid w:val="00DA2E40"/>
    <w:rsid w:val="00DA514A"/>
    <w:rsid w:val="00DA7310"/>
    <w:rsid w:val="00DB081D"/>
    <w:rsid w:val="00DB786D"/>
    <w:rsid w:val="00DB7978"/>
    <w:rsid w:val="00DC13E3"/>
    <w:rsid w:val="00DD2953"/>
    <w:rsid w:val="00DD6405"/>
    <w:rsid w:val="00DF0E9A"/>
    <w:rsid w:val="00DF3740"/>
    <w:rsid w:val="00E00E93"/>
    <w:rsid w:val="00E11539"/>
    <w:rsid w:val="00E14314"/>
    <w:rsid w:val="00E15339"/>
    <w:rsid w:val="00E15DBB"/>
    <w:rsid w:val="00E22E78"/>
    <w:rsid w:val="00E23545"/>
    <w:rsid w:val="00E26746"/>
    <w:rsid w:val="00E2732A"/>
    <w:rsid w:val="00E3167D"/>
    <w:rsid w:val="00E34B0C"/>
    <w:rsid w:val="00E35E01"/>
    <w:rsid w:val="00E5175C"/>
    <w:rsid w:val="00E776B0"/>
    <w:rsid w:val="00E777B4"/>
    <w:rsid w:val="00E87BBF"/>
    <w:rsid w:val="00E930C0"/>
    <w:rsid w:val="00EB0513"/>
    <w:rsid w:val="00EB1B88"/>
    <w:rsid w:val="00ED221B"/>
    <w:rsid w:val="00ED4D6C"/>
    <w:rsid w:val="00EE24AC"/>
    <w:rsid w:val="00EE5753"/>
    <w:rsid w:val="00EF2885"/>
    <w:rsid w:val="00F10681"/>
    <w:rsid w:val="00F143DE"/>
    <w:rsid w:val="00F1737A"/>
    <w:rsid w:val="00F20156"/>
    <w:rsid w:val="00F23276"/>
    <w:rsid w:val="00F24074"/>
    <w:rsid w:val="00F357BB"/>
    <w:rsid w:val="00F50E5B"/>
    <w:rsid w:val="00F56700"/>
    <w:rsid w:val="00F60066"/>
    <w:rsid w:val="00F76708"/>
    <w:rsid w:val="00F777BA"/>
    <w:rsid w:val="00F82D5E"/>
    <w:rsid w:val="00F83F1A"/>
    <w:rsid w:val="00F950E5"/>
    <w:rsid w:val="00FA4597"/>
    <w:rsid w:val="00FB72DA"/>
    <w:rsid w:val="00FC16D2"/>
    <w:rsid w:val="00FC43C6"/>
    <w:rsid w:val="00FC4BD3"/>
    <w:rsid w:val="00FC77F8"/>
    <w:rsid w:val="00FE14D3"/>
    <w:rsid w:val="00FE3538"/>
    <w:rsid w:val="00FE55C9"/>
    <w:rsid w:val="03177643"/>
    <w:rsid w:val="042E3D4C"/>
    <w:rsid w:val="04B236FD"/>
    <w:rsid w:val="05457B31"/>
    <w:rsid w:val="06BD2B87"/>
    <w:rsid w:val="0A7D5CCF"/>
    <w:rsid w:val="0B6D2671"/>
    <w:rsid w:val="0E892B5F"/>
    <w:rsid w:val="114D57E4"/>
    <w:rsid w:val="16422F46"/>
    <w:rsid w:val="188F4B66"/>
    <w:rsid w:val="19AB5B00"/>
    <w:rsid w:val="1A4755BA"/>
    <w:rsid w:val="1A576BE7"/>
    <w:rsid w:val="1CDF0502"/>
    <w:rsid w:val="1D161F59"/>
    <w:rsid w:val="1E8E0F7B"/>
    <w:rsid w:val="22FA6732"/>
    <w:rsid w:val="24EF4A9B"/>
    <w:rsid w:val="24F56EB7"/>
    <w:rsid w:val="2560197B"/>
    <w:rsid w:val="26D51199"/>
    <w:rsid w:val="27C707DC"/>
    <w:rsid w:val="290A4051"/>
    <w:rsid w:val="2AB8281B"/>
    <w:rsid w:val="2B966338"/>
    <w:rsid w:val="2BE929C6"/>
    <w:rsid w:val="2C42701D"/>
    <w:rsid w:val="2DA532B4"/>
    <w:rsid w:val="30147570"/>
    <w:rsid w:val="327A5636"/>
    <w:rsid w:val="32E87B7B"/>
    <w:rsid w:val="35643AC9"/>
    <w:rsid w:val="35745936"/>
    <w:rsid w:val="36175BB9"/>
    <w:rsid w:val="373A2A87"/>
    <w:rsid w:val="38707E1F"/>
    <w:rsid w:val="390E66E2"/>
    <w:rsid w:val="39100066"/>
    <w:rsid w:val="3ACE0C44"/>
    <w:rsid w:val="3B5448DF"/>
    <w:rsid w:val="3B9C311F"/>
    <w:rsid w:val="3D9D7BEB"/>
    <w:rsid w:val="3E0419A2"/>
    <w:rsid w:val="3E675EF4"/>
    <w:rsid w:val="3EF045F3"/>
    <w:rsid w:val="3EF17B2C"/>
    <w:rsid w:val="40917B59"/>
    <w:rsid w:val="4318746D"/>
    <w:rsid w:val="43A21E5C"/>
    <w:rsid w:val="47E92F17"/>
    <w:rsid w:val="483C7D5E"/>
    <w:rsid w:val="49E7311B"/>
    <w:rsid w:val="4CD922FE"/>
    <w:rsid w:val="4CFA3451"/>
    <w:rsid w:val="4EFB3783"/>
    <w:rsid w:val="4FDE0756"/>
    <w:rsid w:val="52B65745"/>
    <w:rsid w:val="52BC3553"/>
    <w:rsid w:val="531A778C"/>
    <w:rsid w:val="53796E2B"/>
    <w:rsid w:val="547E4BDE"/>
    <w:rsid w:val="57212975"/>
    <w:rsid w:val="58CA1E18"/>
    <w:rsid w:val="5B6F4607"/>
    <w:rsid w:val="5C282CE0"/>
    <w:rsid w:val="5CBC04C2"/>
    <w:rsid w:val="600B6479"/>
    <w:rsid w:val="60DE6B42"/>
    <w:rsid w:val="64E566B6"/>
    <w:rsid w:val="65D14193"/>
    <w:rsid w:val="67C8120D"/>
    <w:rsid w:val="67EB64B4"/>
    <w:rsid w:val="695E6376"/>
    <w:rsid w:val="6AB95DB5"/>
    <w:rsid w:val="6AF71FC1"/>
    <w:rsid w:val="6B7A6399"/>
    <w:rsid w:val="6C4B45C4"/>
    <w:rsid w:val="6F357C02"/>
    <w:rsid w:val="71052CBD"/>
    <w:rsid w:val="72B556B6"/>
    <w:rsid w:val="736A2746"/>
    <w:rsid w:val="76130EE4"/>
    <w:rsid w:val="777C50A1"/>
    <w:rsid w:val="78E31846"/>
    <w:rsid w:val="797E72F9"/>
    <w:rsid w:val="79F17989"/>
    <w:rsid w:val="7A4732C3"/>
    <w:rsid w:val="7E422552"/>
    <w:rsid w:val="7E622656"/>
    <w:rsid w:val="7F2010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uiPriority w:val="0"/>
    <w:pPr>
      <w:widowControl/>
      <w:spacing w:line="520" w:lineRule="atLeast"/>
      <w:jc w:val="left"/>
      <w:outlineLvl w:val="0"/>
    </w:pPr>
    <w:rPr>
      <w:rFonts w:ascii="宋体" w:hAnsi="宋体"/>
      <w:b/>
      <w:bCs/>
      <w:kern w:val="36"/>
      <w:sz w:val="36"/>
      <w:szCs w:val="36"/>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640" w:firstLineChars="200"/>
    </w:pPr>
    <w:rPr>
      <w:rFonts w:ascii="仿宋_GB2312" w:eastAsia="仿宋_GB2312"/>
      <w:sz w:val="32"/>
      <w:szCs w:val="32"/>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Body Text First Indent 2"/>
    <w:basedOn w:val="3"/>
    <w:qFormat/>
    <w:uiPriority w:val="0"/>
    <w:pPr>
      <w:ind w:firstLine="420"/>
    </w:p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semiHidden/>
    <w:qFormat/>
    <w:uiPriority w:val="99"/>
    <w:rPr>
      <w:rFonts w:ascii="Calibri" w:hAnsi="Calibri" w:eastAsia="宋体" w:cs="宋体"/>
      <w:sz w:val="18"/>
      <w:szCs w:val="18"/>
    </w:rPr>
  </w:style>
  <w:style w:type="character" w:customStyle="1" w:styleId="10">
    <w:name w:val="页脚 Char"/>
    <w:basedOn w:val="7"/>
    <w:link w:val="4"/>
    <w:semiHidden/>
    <w:qFormat/>
    <w:uiPriority w:val="99"/>
    <w:rPr>
      <w:rFonts w:ascii="Calibri" w:hAnsi="Calibri" w:eastAsia="宋体" w:cs="宋体"/>
      <w:sz w:val="18"/>
      <w:szCs w:val="18"/>
    </w:rPr>
  </w:style>
  <w:style w:type="character" w:customStyle="1" w:styleId="11">
    <w:name w:val="font31"/>
    <w:basedOn w:val="7"/>
    <w:qFormat/>
    <w:uiPriority w:val="0"/>
    <w:rPr>
      <w:rFonts w:hint="eastAsia" w:ascii="宋体" w:hAnsi="宋体" w:eastAsia="宋体" w:cs="宋体"/>
      <w:color w:val="000000"/>
      <w:sz w:val="24"/>
      <w:szCs w:val="24"/>
      <w:u w:val="none"/>
    </w:rPr>
  </w:style>
  <w:style w:type="character" w:customStyle="1" w:styleId="12">
    <w:name w:val="font8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245</Words>
  <Characters>1401</Characters>
  <Lines>11</Lines>
  <Paragraphs>3</Paragraphs>
  <TotalTime>57</TotalTime>
  <ScaleCrop>false</ScaleCrop>
  <LinksUpToDate>false</LinksUpToDate>
  <CharactersWithSpaces>1643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2020-02-10T01:51:00Z</dcterms:created>
  <dc:creator>甘恬骅</dc:creator>
  <cp:lastModifiedBy>石海</cp:lastModifiedBy>
  <cp:lastPrinted>2020-10-16T08:33:00Z</cp:lastPrinted>
  <dcterms:modified xsi:type="dcterms:W3CDTF">2020-12-02T06:57:04Z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